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259B578" w14:textId="77777777" w:rsidR="0020031B" w:rsidRDefault="00BA3E1C">
      <w:pPr>
        <w:pStyle w:val="Proposal"/>
        <w:numPr>
          <w:ilvl w:val="0"/>
          <w:numId w:val="0"/>
        </w:numPr>
        <w:snapToGrid w:val="0"/>
        <w:ind w:left="1701" w:hanging="1701"/>
        <w:rPr>
          <w:rFonts w:ascii="Arial" w:hAnsi="Arial" w:cs="Arial"/>
          <w:b w:val="0"/>
          <w:bCs w:val="0"/>
          <w:sz w:val="22"/>
        </w:rPr>
      </w:pPr>
      <w:bookmarkStart w:id="0" w:name="OLE_LINK1"/>
      <w:bookmarkStart w:id="1" w:name="OLE_LINK2"/>
      <w:r>
        <w:rPr>
          <w:rFonts w:ascii="Arial" w:hAnsi="Arial" w:cs="Arial"/>
          <w:sz w:val="22"/>
        </w:rPr>
        <w:t>3GPP TSG RAN WG1 #10</w:t>
      </w:r>
      <w:r>
        <w:rPr>
          <w:rFonts w:ascii="Arial" w:hAnsi="Arial" w:cs="Arial" w:hint="eastAsia"/>
          <w:sz w:val="22"/>
        </w:rPr>
        <w:t>4</w:t>
      </w:r>
      <w:r>
        <w:rPr>
          <w:rFonts w:ascii="Arial" w:hAnsi="Arial" w:cs="Arial"/>
          <w:sz w:val="22"/>
        </w:rPr>
        <w:t>e</w:t>
      </w:r>
      <w:r>
        <w:rPr>
          <w:rFonts w:ascii="Arial" w:hAnsi="Arial" w:cs="Arial"/>
          <w:sz w:val="22"/>
        </w:rPr>
        <w:tab/>
      </w:r>
      <w:r>
        <w:rPr>
          <w:rFonts w:ascii="Arial" w:hAnsi="Arial" w:cs="Arial"/>
          <w:sz w:val="22"/>
        </w:rPr>
        <w:tab/>
      </w:r>
      <w:r>
        <w:rPr>
          <w:rFonts w:ascii="Arial" w:hAnsi="Arial" w:cs="Arial"/>
          <w:sz w:val="22"/>
        </w:rPr>
        <w:tab/>
        <w:t xml:space="preserve">                                       R1-2</w:t>
      </w:r>
      <w:r>
        <w:rPr>
          <w:rFonts w:ascii="Arial" w:hAnsi="Arial" w:cs="Arial" w:hint="eastAsia"/>
          <w:sz w:val="22"/>
        </w:rPr>
        <w:t>100245</w:t>
      </w:r>
    </w:p>
    <w:p w14:paraId="56938B45" w14:textId="77777777" w:rsidR="0020031B" w:rsidRDefault="00BA3E1C">
      <w:pPr>
        <w:pStyle w:val="Proposal"/>
        <w:numPr>
          <w:ilvl w:val="0"/>
          <w:numId w:val="0"/>
        </w:numPr>
        <w:snapToGrid w:val="0"/>
        <w:ind w:left="1701" w:hanging="1701"/>
        <w:rPr>
          <w:rFonts w:ascii="Arial" w:hAnsi="Arial" w:cs="Arial"/>
          <w:b w:val="0"/>
          <w:bCs w:val="0"/>
          <w:sz w:val="22"/>
        </w:rPr>
      </w:pPr>
      <w:r>
        <w:rPr>
          <w:rFonts w:ascii="Arial" w:hAnsi="Arial" w:cs="Arial"/>
          <w:sz w:val="22"/>
        </w:rPr>
        <w:t xml:space="preserve">e-Meeting, </w:t>
      </w:r>
      <w:r>
        <w:rPr>
          <w:rFonts w:ascii="Arial" w:hAnsi="Arial" w:cs="Arial" w:hint="eastAsia"/>
          <w:sz w:val="22"/>
        </w:rPr>
        <w:t>January</w:t>
      </w:r>
      <w:r>
        <w:rPr>
          <w:rFonts w:ascii="Arial" w:hAnsi="Arial" w:cs="Arial"/>
          <w:sz w:val="22"/>
        </w:rPr>
        <w:t xml:space="preserve"> </w:t>
      </w:r>
      <w:r>
        <w:rPr>
          <w:rFonts w:ascii="Arial" w:hAnsi="Arial" w:cs="Arial" w:hint="eastAsia"/>
          <w:sz w:val="22"/>
        </w:rPr>
        <w:t>25</w:t>
      </w:r>
      <w:r>
        <w:rPr>
          <w:rFonts w:ascii="Arial" w:hAnsi="Arial" w:cs="Arial"/>
          <w:sz w:val="22"/>
          <w:vertAlign w:val="superscript"/>
        </w:rPr>
        <w:t>th</w:t>
      </w:r>
      <w:r>
        <w:rPr>
          <w:rFonts w:ascii="Arial" w:hAnsi="Arial" w:cs="Arial"/>
          <w:sz w:val="22"/>
        </w:rPr>
        <w:t xml:space="preserve"> – </w:t>
      </w:r>
      <w:r>
        <w:rPr>
          <w:rFonts w:ascii="Arial" w:hAnsi="Arial" w:cs="Arial" w:hint="eastAsia"/>
          <w:sz w:val="22"/>
        </w:rPr>
        <w:t>February 5</w:t>
      </w:r>
      <w:r>
        <w:rPr>
          <w:rFonts w:ascii="Arial" w:hAnsi="Arial" w:cs="Arial"/>
          <w:sz w:val="22"/>
          <w:vertAlign w:val="superscript"/>
        </w:rPr>
        <w:t>th</w:t>
      </w:r>
      <w:r>
        <w:rPr>
          <w:rFonts w:ascii="Arial" w:hAnsi="Arial" w:cs="Arial"/>
          <w:sz w:val="22"/>
        </w:rPr>
        <w:t>, 202</w:t>
      </w:r>
      <w:r>
        <w:rPr>
          <w:rFonts w:ascii="Arial" w:hAnsi="Arial" w:cs="Arial" w:hint="eastAsia"/>
          <w:sz w:val="22"/>
        </w:rPr>
        <w:t>1</w:t>
      </w:r>
    </w:p>
    <w:p w14:paraId="7552BC44" w14:textId="77777777" w:rsidR="0020031B" w:rsidRDefault="0020031B">
      <w:pPr>
        <w:pStyle w:val="3GPPHeader"/>
        <w:snapToGrid w:val="0"/>
        <w:rPr>
          <w:rFonts w:cs="Arial"/>
          <w:sz w:val="22"/>
        </w:rPr>
      </w:pPr>
    </w:p>
    <w:p w14:paraId="020D739E" w14:textId="77777777" w:rsidR="0020031B" w:rsidRDefault="00BA3E1C">
      <w:pPr>
        <w:pStyle w:val="3GPPHeader"/>
        <w:snapToGrid w:val="0"/>
        <w:rPr>
          <w:rFonts w:cs="Arial"/>
          <w:sz w:val="22"/>
        </w:rPr>
      </w:pPr>
      <w:r>
        <w:rPr>
          <w:rFonts w:cs="Arial"/>
          <w:sz w:val="22"/>
        </w:rPr>
        <w:t>Source:</w:t>
      </w:r>
      <w:r>
        <w:rPr>
          <w:rFonts w:cs="Arial"/>
          <w:sz w:val="22"/>
        </w:rPr>
        <w:tab/>
        <w:t>ZTE</w:t>
      </w:r>
    </w:p>
    <w:p w14:paraId="59193210" w14:textId="77777777" w:rsidR="0020031B" w:rsidRDefault="00BA3E1C">
      <w:pPr>
        <w:pStyle w:val="3GPPHeader"/>
        <w:snapToGrid w:val="0"/>
        <w:rPr>
          <w:rFonts w:cs="Arial"/>
          <w:sz w:val="22"/>
        </w:rPr>
      </w:pPr>
      <w:r>
        <w:rPr>
          <w:rFonts w:cs="Arial"/>
          <w:sz w:val="22"/>
        </w:rPr>
        <w:t>Title:</w:t>
      </w:r>
      <w:r>
        <w:rPr>
          <w:rFonts w:cs="Arial"/>
          <w:sz w:val="22"/>
        </w:rPr>
        <w:tab/>
      </w:r>
      <w:r>
        <w:rPr>
          <w:rFonts w:cs="Arial" w:hint="eastAsia"/>
          <w:sz w:val="22"/>
        </w:rPr>
        <w:t xml:space="preserve">Discussion on </w:t>
      </w:r>
      <w:r>
        <w:rPr>
          <w:rFonts w:cs="Arial"/>
          <w:sz w:val="22"/>
        </w:rPr>
        <w:t>UL</w:t>
      </w:r>
      <w:r>
        <w:rPr>
          <w:rFonts w:cs="Arial" w:hint="eastAsia"/>
          <w:sz w:val="22"/>
        </w:rPr>
        <w:t xml:space="preserve"> synchronization </w:t>
      </w:r>
      <w:r>
        <w:rPr>
          <w:rFonts w:cs="Arial"/>
          <w:sz w:val="22"/>
        </w:rPr>
        <w:t>for NR</w:t>
      </w:r>
      <w:r>
        <w:rPr>
          <w:rFonts w:cs="Arial" w:hint="eastAsia"/>
          <w:sz w:val="22"/>
        </w:rPr>
        <w:t>-</w:t>
      </w:r>
      <w:r>
        <w:rPr>
          <w:rFonts w:cs="Arial"/>
          <w:sz w:val="22"/>
        </w:rPr>
        <w:t>NTN</w:t>
      </w:r>
    </w:p>
    <w:p w14:paraId="36A27C76" w14:textId="77777777" w:rsidR="0020031B" w:rsidRDefault="00BA3E1C">
      <w:pPr>
        <w:pStyle w:val="3GPPHeader"/>
        <w:snapToGrid w:val="0"/>
        <w:rPr>
          <w:rFonts w:cs="Arial"/>
          <w:sz w:val="22"/>
        </w:rPr>
      </w:pPr>
      <w:r>
        <w:rPr>
          <w:rFonts w:cs="Arial"/>
          <w:sz w:val="22"/>
        </w:rPr>
        <w:t>Agenda Item:</w:t>
      </w:r>
      <w:r>
        <w:rPr>
          <w:rFonts w:cs="Arial"/>
          <w:sz w:val="22"/>
        </w:rPr>
        <w:tab/>
        <w:t>8.</w:t>
      </w:r>
      <w:r>
        <w:rPr>
          <w:rFonts w:cs="Arial" w:hint="eastAsia"/>
          <w:sz w:val="22"/>
        </w:rPr>
        <w:t>4.2</w:t>
      </w:r>
    </w:p>
    <w:p w14:paraId="128D93E3" w14:textId="77777777" w:rsidR="0020031B" w:rsidRDefault="00BA3E1C">
      <w:pPr>
        <w:pBdr>
          <w:bottom w:val="single" w:sz="6" w:space="1" w:color="auto"/>
        </w:pBdr>
        <w:snapToGrid w:val="0"/>
        <w:rPr>
          <w:rFonts w:ascii="Arial" w:hAnsi="Arial"/>
          <w:b/>
        </w:rPr>
      </w:pPr>
      <w:r>
        <w:rPr>
          <w:rFonts w:ascii="Arial" w:hAnsi="Arial"/>
          <w:b/>
        </w:rPr>
        <w:t>Document for:  Discussion</w:t>
      </w:r>
      <w:bookmarkEnd w:id="0"/>
      <w:bookmarkEnd w:id="1"/>
    </w:p>
    <w:p w14:paraId="5C6F16D9" w14:textId="77777777" w:rsidR="0020031B" w:rsidRDefault="00BA3E1C">
      <w:pPr>
        <w:pStyle w:val="1"/>
        <w:keepNext w:val="0"/>
        <w:keepLines w:val="0"/>
        <w:widowControl w:val="0"/>
        <w:numPr>
          <w:ilvl w:val="0"/>
          <w:numId w:val="4"/>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bookmarkStart w:id="2" w:name="_Ref18181"/>
      <w:r>
        <w:rPr>
          <w:rFonts w:eastAsia="黑体" w:cs="Times New Roman" w:hint="eastAsia"/>
          <w:b/>
          <w:bCs/>
          <w:sz w:val="28"/>
          <w:szCs w:val="30"/>
          <w:lang w:val="en-US"/>
        </w:rPr>
        <w:t>Introduction</w:t>
      </w:r>
      <w:bookmarkEnd w:id="2"/>
    </w:p>
    <w:p w14:paraId="2CCC6331" w14:textId="77777777" w:rsidR="0020031B" w:rsidRDefault="00BA3E1C">
      <w:pPr>
        <w:spacing w:afterLines="50" w:after="120" w:line="240" w:lineRule="auto"/>
        <w:ind w:firstLine="420"/>
        <w:rPr>
          <w:rFonts w:ascii="Times New Roman" w:hAnsi="Times New Roman"/>
          <w:sz w:val="20"/>
          <w:szCs w:val="20"/>
        </w:rPr>
      </w:pPr>
      <w:r>
        <w:rPr>
          <w:rFonts w:ascii="Times New Roman" w:hAnsi="Times New Roman"/>
          <w:sz w:val="20"/>
          <w:szCs w:val="20"/>
        </w:rPr>
        <w:t>I</w:t>
      </w:r>
      <w:r>
        <w:rPr>
          <w:rFonts w:ascii="Times New Roman" w:hAnsi="Times New Roman"/>
          <w:sz w:val="20"/>
          <w:szCs w:val="20"/>
          <w:lang w:val="en-GB"/>
        </w:rPr>
        <w:t>n RAN</w:t>
      </w:r>
      <w:r>
        <w:rPr>
          <w:rFonts w:ascii="Times New Roman" w:hAnsi="Times New Roman" w:hint="eastAsia"/>
          <w:sz w:val="20"/>
          <w:szCs w:val="20"/>
        </w:rPr>
        <w:t>1#103e</w:t>
      </w:r>
      <w:r>
        <w:rPr>
          <w:rFonts w:ascii="Times New Roman" w:hAnsi="Times New Roman"/>
          <w:sz w:val="20"/>
          <w:szCs w:val="20"/>
        </w:rPr>
        <w:t xml:space="preserve"> </w:t>
      </w:r>
      <w:r>
        <w:rPr>
          <w:rFonts w:ascii="Times New Roman" w:hAnsi="Times New Roman"/>
          <w:sz w:val="20"/>
          <w:szCs w:val="20"/>
        </w:rPr>
        <w:fldChar w:fldCharType="begin"/>
      </w:r>
      <w:r>
        <w:rPr>
          <w:rFonts w:ascii="Times New Roman" w:hAnsi="Times New Roman"/>
          <w:sz w:val="20"/>
          <w:szCs w:val="20"/>
        </w:rPr>
        <w:instrText xml:space="preserve"> REF _Ref40282619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[1]</w:t>
      </w:r>
      <w:r>
        <w:rPr>
          <w:rFonts w:ascii="Times New Roman" w:hAnsi="Times New Roman"/>
          <w:sz w:val="20"/>
          <w:szCs w:val="20"/>
        </w:rPr>
        <w:fldChar w:fldCharType="end"/>
      </w:r>
      <w:r>
        <w:rPr>
          <w:rFonts w:ascii="Times New Roman" w:hAnsi="Times New Roman"/>
          <w:sz w:val="20"/>
          <w:szCs w:val="20"/>
        </w:rPr>
        <w:t xml:space="preserve">, the </w:t>
      </w:r>
      <w:r>
        <w:rPr>
          <w:rFonts w:ascii="Times New Roman" w:hAnsi="Times New Roman" w:hint="eastAsia"/>
          <w:sz w:val="20"/>
          <w:szCs w:val="20"/>
        </w:rPr>
        <w:t>followings have been agreed on UL synchronization for NTN.</w:t>
      </w:r>
    </w:p>
    <w:p w14:paraId="380618E8" w14:textId="77777777" w:rsidR="0020031B" w:rsidRDefault="00BA3E1C">
      <w:pPr>
        <w:spacing w:beforeLines="50" w:before="120" w:afterLines="50" w:after="120" w:line="240" w:lineRule="auto"/>
        <w:ind w:leftChars="200" w:left="440"/>
        <w:jc w:val="both"/>
        <w:rPr>
          <w:rFonts w:ascii="Times New Roman" w:hAnsi="Times New Roman"/>
          <w:i/>
          <w:iCs/>
          <w:sz w:val="20"/>
          <w:szCs w:val="20"/>
          <w:highlight w:val="green"/>
        </w:rPr>
      </w:pPr>
      <w:r>
        <w:rPr>
          <w:rFonts w:ascii="Times New Roman" w:hAnsi="Times New Roman"/>
          <w:i/>
          <w:iCs/>
          <w:sz w:val="20"/>
          <w:szCs w:val="20"/>
          <w:highlight w:val="green"/>
        </w:rPr>
        <w:t>Agreement:</w:t>
      </w:r>
    </w:p>
    <w:p w14:paraId="5CF64868" w14:textId="77777777" w:rsidR="0020031B" w:rsidRDefault="00BA3E1C">
      <w:pPr>
        <w:spacing w:beforeLines="50" w:before="120" w:afterLines="50" w:after="120" w:line="240" w:lineRule="auto"/>
        <w:ind w:leftChars="200" w:left="440"/>
        <w:jc w:val="both"/>
        <w:rPr>
          <w:rFonts w:ascii="Times New Roman" w:hAnsi="Times New Roman" w:cs="Times New Roman"/>
          <w:i/>
          <w:iCs/>
          <w:sz w:val="20"/>
          <w:szCs w:val="20"/>
        </w:rPr>
      </w:pPr>
      <w:r>
        <w:rPr>
          <w:rFonts w:ascii="Times New Roman" w:hAnsi="Times New Roman" w:cs="Times New Roman"/>
          <w:i/>
          <w:iCs/>
          <w:sz w:val="20"/>
          <w:szCs w:val="20"/>
        </w:rPr>
        <w:t xml:space="preserve">An NTN UE in RRC_IDLE and RRC_INACTIVE states is required to at least </w:t>
      </w:r>
      <w:r>
        <w:rPr>
          <w:rFonts w:ascii="Times New Roman" w:hAnsi="Times New Roman" w:cs="Times New Roman"/>
          <w:i/>
          <w:iCs/>
          <w:sz w:val="20"/>
          <w:szCs w:val="20"/>
        </w:rPr>
        <w:t>support UE specific TA calculation based at least on its GNSS-acquired position and the serving satellite ephemeris.</w:t>
      </w:r>
    </w:p>
    <w:p w14:paraId="6F44AC99" w14:textId="77777777" w:rsidR="0020031B" w:rsidRDefault="00BA3E1C">
      <w:pPr>
        <w:spacing w:beforeLines="50" w:before="120" w:afterLines="50" w:after="120" w:line="240" w:lineRule="auto"/>
        <w:ind w:leftChars="200" w:left="440"/>
        <w:jc w:val="both"/>
        <w:rPr>
          <w:rFonts w:ascii="Times New Roman" w:hAnsi="Times New Roman"/>
          <w:i/>
          <w:iCs/>
          <w:sz w:val="20"/>
          <w:szCs w:val="20"/>
          <w:highlight w:val="green"/>
        </w:rPr>
      </w:pPr>
      <w:r>
        <w:rPr>
          <w:rFonts w:ascii="Times New Roman" w:hAnsi="Times New Roman"/>
          <w:i/>
          <w:iCs/>
          <w:sz w:val="20"/>
          <w:szCs w:val="20"/>
          <w:highlight w:val="green"/>
        </w:rPr>
        <w:t>Agreement:</w:t>
      </w:r>
    </w:p>
    <w:p w14:paraId="389E5C39" w14:textId="77777777" w:rsidR="0020031B" w:rsidRDefault="00BA3E1C">
      <w:pPr>
        <w:spacing w:beforeLines="50" w:before="120" w:afterLines="50" w:after="120" w:line="240" w:lineRule="auto"/>
        <w:ind w:leftChars="200" w:left="440"/>
        <w:jc w:val="both"/>
        <w:rPr>
          <w:rFonts w:ascii="Times New Roman" w:hAnsi="Times New Roman" w:cs="Times New Roman"/>
          <w:i/>
          <w:iCs/>
          <w:sz w:val="20"/>
          <w:szCs w:val="20"/>
        </w:rPr>
      </w:pPr>
      <w:r>
        <w:rPr>
          <w:rFonts w:ascii="Times New Roman" w:hAnsi="Times New Roman" w:cs="Times New Roman"/>
          <w:i/>
          <w:iCs/>
          <w:sz w:val="20"/>
          <w:szCs w:val="20"/>
        </w:rPr>
        <w:t>An NR NTN UE in RRC_IDLE and RRC_INACTIVE states shall be capable of at least using its acquired GNSS position and satellite eph</w:t>
      </w:r>
      <w:r>
        <w:rPr>
          <w:rFonts w:ascii="Times New Roman" w:hAnsi="Times New Roman" w:cs="Times New Roman"/>
          <w:i/>
          <w:iCs/>
          <w:sz w:val="20"/>
          <w:szCs w:val="20"/>
        </w:rPr>
        <w:t>emeris to calculate frequency pre-compensation to counter shift the Doppler experienced on the service link.</w:t>
      </w:r>
    </w:p>
    <w:p w14:paraId="2E44CD40" w14:textId="77777777" w:rsidR="0020031B" w:rsidRDefault="00BA3E1C">
      <w:pPr>
        <w:spacing w:beforeLines="50" w:before="120" w:afterLines="50" w:after="120" w:line="240" w:lineRule="auto"/>
        <w:ind w:leftChars="200" w:left="440"/>
        <w:jc w:val="both"/>
        <w:rPr>
          <w:rFonts w:ascii="Times New Roman" w:hAnsi="Times New Roman"/>
          <w:i/>
          <w:iCs/>
          <w:sz w:val="20"/>
          <w:szCs w:val="20"/>
          <w:highlight w:val="green"/>
          <w:lang w:eastAsia="ko-KR"/>
        </w:rPr>
      </w:pPr>
      <w:r>
        <w:rPr>
          <w:rFonts w:ascii="Times New Roman" w:hAnsi="Times New Roman"/>
          <w:i/>
          <w:iCs/>
          <w:sz w:val="20"/>
          <w:szCs w:val="20"/>
          <w:highlight w:val="green"/>
          <w:lang w:eastAsia="ko-KR"/>
        </w:rPr>
        <w:t>Agreement:</w:t>
      </w:r>
    </w:p>
    <w:p w14:paraId="2082E239" w14:textId="77777777" w:rsidR="0020031B" w:rsidRDefault="00BA3E1C">
      <w:pPr>
        <w:spacing w:after="0" w:line="240" w:lineRule="auto"/>
        <w:ind w:left="360"/>
        <w:jc w:val="both"/>
        <w:rPr>
          <w:rFonts w:ascii="Times New Roman" w:hAnsi="Times New Roman" w:cs="Times New Roman"/>
          <w:i/>
          <w:iCs/>
          <w:sz w:val="20"/>
          <w:szCs w:val="20"/>
          <w:lang w:eastAsia="ko-KR"/>
        </w:rPr>
      </w:pPr>
      <w:r>
        <w:rPr>
          <w:rFonts w:ascii="Times New Roman" w:eastAsia="宋体" w:hAnsi="Times New Roman" w:cs="Times New Roman"/>
          <w:color w:val="000000"/>
          <w:sz w:val="20"/>
          <w:szCs w:val="20"/>
          <w:lang w:eastAsia="ko-KR"/>
        </w:rPr>
        <w:t>I</w:t>
      </w:r>
      <w:r>
        <w:rPr>
          <w:rFonts w:ascii="Times New Roman" w:hAnsi="Times New Roman" w:cs="Times New Roman"/>
          <w:i/>
          <w:iCs/>
          <w:sz w:val="20"/>
          <w:szCs w:val="20"/>
          <w:lang w:eastAsia="ko-KR"/>
        </w:rPr>
        <w:t xml:space="preserve">n NTN, the network may broadcast </w:t>
      </w:r>
    </w:p>
    <w:p w14:paraId="582D739B" w14:textId="77777777" w:rsidR="0020031B" w:rsidRDefault="00BA3E1C">
      <w:pPr>
        <w:numPr>
          <w:ilvl w:val="0"/>
          <w:numId w:val="5"/>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t xml:space="preserve">A common timing offset value </w:t>
      </w:r>
    </w:p>
    <w:p w14:paraId="62B8E569" w14:textId="77777777" w:rsidR="0020031B" w:rsidRDefault="00BA3E1C">
      <w:pPr>
        <w:numPr>
          <w:ilvl w:val="1"/>
          <w:numId w:val="5"/>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t>FFS details of the common timing offset</w:t>
      </w:r>
    </w:p>
    <w:p w14:paraId="6A45E0C2" w14:textId="77777777" w:rsidR="0020031B" w:rsidRDefault="00BA3E1C">
      <w:pPr>
        <w:numPr>
          <w:ilvl w:val="0"/>
          <w:numId w:val="5"/>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t>FFS: A common timing drift rate</w:t>
      </w:r>
    </w:p>
    <w:p w14:paraId="15CC56BC" w14:textId="77777777" w:rsidR="0020031B" w:rsidRDefault="00BA3E1C">
      <w:pPr>
        <w:spacing w:after="0" w:line="240" w:lineRule="auto"/>
        <w:ind w:left="360"/>
        <w:jc w:val="both"/>
        <w:rPr>
          <w:rFonts w:ascii="Times New Roman" w:hAnsi="Times New Roman" w:cs="Times New Roman"/>
          <w:i/>
          <w:iCs/>
          <w:sz w:val="20"/>
          <w:szCs w:val="20"/>
          <w:lang w:eastAsia="ko-KR"/>
        </w:rPr>
      </w:pPr>
      <w:r>
        <w:rPr>
          <w:rFonts w:ascii="Times New Roman" w:hAnsi="Times New Roman" w:cs="Times New Roman"/>
          <w:i/>
          <w:iCs/>
          <w:sz w:val="20"/>
          <w:szCs w:val="20"/>
          <w:lang w:eastAsia="ko-KR"/>
        </w:rPr>
        <w:t>Before Msg1/MsgA transmission, the NR NTN UE in idle/inactive mode calculates its TA as follows:</w:t>
      </w:r>
    </w:p>
    <w:p w14:paraId="5B281F1F" w14:textId="77777777" w:rsidR="0020031B" w:rsidRDefault="00BA3E1C">
      <w:pPr>
        <w:spacing w:after="0" w:line="240" w:lineRule="auto"/>
        <w:ind w:left="360"/>
        <w:rPr>
          <w:rFonts w:ascii="Times New Roman" w:hAnsi="Times New Roman" w:cs="Times New Roman"/>
          <w:i/>
          <w:iCs/>
          <w:sz w:val="20"/>
          <w:szCs w:val="20"/>
          <w:lang w:eastAsia="ko-KR"/>
        </w:rPr>
      </w:pPr>
      <m:oMathPara>
        <m:oMath>
          <m:r>
            <w:rPr>
              <w:rFonts w:ascii="Cambria Math" w:hAnsi="Cambria Math" w:cs="Times New Roman"/>
              <w:sz w:val="20"/>
              <w:szCs w:val="20"/>
            </w:rPr>
            <m:t>TA</m:t>
          </m:r>
          <m:r>
            <w:rPr>
              <w:rFonts w:ascii="Cambria Math" w:hAnsi="Cambria Math" w:cs="Times New Roman"/>
              <w:sz w:val="20"/>
              <w:szCs w:val="20"/>
            </w:rPr>
            <m:t xml:space="preserve">= </m:t>
          </m:r>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TA</m:t>
                  </m:r>
                </m:sub>
              </m:sSub>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TA</m:t>
                  </m:r>
                  <m:r>
                    <w:rPr>
                      <w:rFonts w:ascii="Cambria Math" w:hAnsi="Cambria Math" w:cs="Times New Roman"/>
                      <w:sz w:val="20"/>
                      <w:szCs w:val="20"/>
                    </w:rPr>
                    <m:t xml:space="preserve">, </m:t>
                  </m:r>
                  <m:r>
                    <w:rPr>
                      <w:rFonts w:ascii="Cambria Math" w:hAnsi="Cambria Math" w:cs="Times New Roman"/>
                      <w:sz w:val="20"/>
                      <w:szCs w:val="20"/>
                    </w:rPr>
                    <m:t>offset</m:t>
                  </m:r>
                </m:sub>
              </m:sSub>
              <m:r>
                <w:rPr>
                  <w:rFonts w:ascii="Cambria Math" w:hAnsi="Cambria Math" w:cs="Times New Roman"/>
                  <w:sz w:val="20"/>
                  <w:szCs w:val="20"/>
                </w:rPr>
                <m:t>[+</m:t>
              </m:r>
              <m:r>
                <w:rPr>
                  <w:rFonts w:ascii="Cambria Math" w:hAnsi="Cambria Math" w:cs="Times New Roman"/>
                  <w:sz w:val="20"/>
                  <w:szCs w:val="20"/>
                </w:rPr>
                <m:t>X</m:t>
              </m:r>
              <m:r>
                <w:rPr>
                  <w:rFonts w:ascii="Cambria Math" w:hAnsi="Cambria Math" w:cs="Times New Roman"/>
                  <w:sz w:val="20"/>
                  <w:szCs w:val="20"/>
                </w:rPr>
                <m:t>]</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T</m:t>
              </m:r>
            </m:e>
            <m:sub>
              <m:r>
                <w:rPr>
                  <w:rFonts w:ascii="Cambria Math" w:hAnsi="Cambria Math" w:cs="Times New Roman"/>
                  <w:sz w:val="20"/>
                  <w:szCs w:val="20"/>
                </w:rPr>
                <m:t>c</m:t>
              </m:r>
            </m:sub>
          </m:sSub>
          <m:r>
            <w:rPr>
              <w:rFonts w:ascii="Cambria Math" w:hAnsi="Cambria Math" w:cs="Times New Roman"/>
              <w:sz w:val="20"/>
              <w:szCs w:val="20"/>
            </w:rPr>
            <m:t>[+</m:t>
          </m:r>
          <m:r>
            <w:rPr>
              <w:rFonts w:ascii="Cambria Math" w:hAnsi="Cambria Math" w:cs="Times New Roman"/>
              <w:sz w:val="20"/>
              <w:szCs w:val="20"/>
            </w:rPr>
            <m:t>X</m:t>
          </m:r>
          <m:r>
            <w:rPr>
              <w:rFonts w:ascii="Cambria Math" w:hAnsi="Cambria Math" w:cs="Times New Roman"/>
              <w:sz w:val="20"/>
              <w:szCs w:val="20"/>
            </w:rPr>
            <m:t>]</m:t>
          </m:r>
        </m:oMath>
      </m:oMathPara>
    </w:p>
    <w:p w14:paraId="5957D23A" w14:textId="77777777" w:rsidR="0020031B" w:rsidRDefault="00BA3E1C">
      <w:pPr>
        <w:numPr>
          <w:ilvl w:val="5"/>
          <w:numId w:val="0"/>
        </w:numPr>
        <w:spacing w:after="0" w:line="240" w:lineRule="auto"/>
        <w:ind w:firstLineChars="200" w:firstLine="400"/>
        <w:jc w:val="both"/>
        <w:rPr>
          <w:rFonts w:ascii="Times New Roman" w:hAnsi="Times New Roman" w:cs="Times New Roman"/>
          <w:i/>
          <w:iCs/>
          <w:sz w:val="20"/>
          <w:szCs w:val="20"/>
          <w:lang w:eastAsia="ko-KR"/>
        </w:rPr>
      </w:pPr>
      <w:r>
        <w:rPr>
          <w:rFonts w:ascii="Times New Roman" w:hAnsi="Times New Roman" w:cs="Times New Roman"/>
          <w:i/>
          <w:iCs/>
          <w:sz w:val="20"/>
          <w:szCs w:val="20"/>
          <w:lang w:eastAsia="ko-KR"/>
        </w:rPr>
        <w:t>Where:</w:t>
      </w:r>
    </w:p>
    <w:p w14:paraId="1928DA9B" w14:textId="77777777" w:rsidR="0020031B" w:rsidRDefault="00BA3E1C">
      <w:pPr>
        <w:numPr>
          <w:ilvl w:val="0"/>
          <w:numId w:val="5"/>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B14819">
        <w:rPr>
          <w:rFonts w:ascii="Times New Roman" w:hAnsi="Times New Roman" w:cs="Times New Roman"/>
          <w:i/>
          <w:iCs/>
          <w:sz w:val="20"/>
          <w:szCs w:val="20"/>
        </w:rPr>
        <w:pict w14:anchorId="21032E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EFE&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6EFE&quot; wsp:rsidP=&quot;009A6EFE&quot;&gt;&lt;m:oMathPara&gt;&lt;m:oMath&gt;&lt;m:sSub&gt;&lt;m:sSubPr&gt;&lt;m:ctrlPr&gt;&lt;w:rPr&gt;&lt;w:rFonts w:ascii=&quot;Cambria Math&quot; w:fareast=&quot;SimSun&quot; w:h-ansi=&quot;Cambria Math&quot; w:cs=&quot;Calibri&quot;/&gt;&lt;wx:font wx:val=&quot;Cambria Math&quot;/&gt;&lt;w:b/&gt;&lt;w:b-cs/&gt;&lt;w:color w:val=&quot;000000&quot;/&gt;&lt;w:sz w:val=&quot;22&quot;/&gt;&lt;w:sz-cs w:val=&quot;22&quot;/&gt;&lt;w:lang w:val=&quot;EN-US&quot; w:fareast=&quot;KO&quot;/&gt;&lt;/w:rPr&gt;&lt;/m:ctrlPr&gt;&lt;/m:sSubPr&gt;&lt;m:e&gt;&lt;m:r&gt;&lt;m:rPr&gt;&lt;m:sty m:val=&quot;bi&quot;/&gt;&lt;/m:rPr&gt;&lt;w:rPr&gt;&lt;w:rFonts w:ascii=&quot;Cambria Math&quot; w:fareast=&quot;SimSun&quot; w:h-ansi=&quot;Cambria Math&quot; w:cs=&quot;Calibri&quot;/&gt;&lt;wx:font wx:val=&quot;Cambria Math&quot;/&gt;&lt;w:b/&gt;&lt;w:b-cs/&gt;&lt;w:i/&gt;&lt;w:i-cs/&gt;&lt;w:color w:val=&quot;000000&quot;/&gt;&lt;w:sz w:val=&quot;22&quot;/&gt;&lt;w:sz-cs w:val=&quot;22&quot;/&gt;&lt;w:lang w:val=&quot;EN-US&quot; w:fareast=&quot;KO&quot;/&gt;&lt;/w:rPr&gt;&lt;m:t&gt;N&lt;/m:t&gt;&lt;/m:r&gt;&lt;/m:e&gt;&lt;m:sub&gt;&lt;m:r&gt;&lt;m:rPr&gt;&lt;m:sty m:val=&quot;bi&quot;/&gt;&lt;/m:rPr&gt;&lt;w:rPr&gt;&lt;w:rFonts w:ascii=&quot;Cambria Math&quot; w:fareast=&quot;SimSun&quot; w:h-ansi=&quot;Cambria Math&quot; w:cs=&quot;Calibri&quot;/&gt;&lt;wx:font wx:val=&quot;Cambria Math&quot;/&gt;&lt;w:b/&gt;&lt;w:b-cs/&gt;&lt;w:i/&gt;&lt;w:i-cs/&gt;&lt;w:color w:val=&quot;000000&quot;/&gt;&lt;w:sz w:val=&quot;22&quot;/&gt;&lt;w:sz-cs w:val=&quot;22&quot;/&gt;&lt;w:lang w:val=&quot;EN-US&quot; w:fareast=&quot;KO&quot;/&gt;&lt;/w:rPr&gt;&lt;m:t&gt;TA&lt;/m:t&gt;&lt;/m:r&gt;&lt;/m:sub&gt;&lt;/m:sSub&gt;&lt;m:r&gt;&lt;m:rPr&gt;&lt;m:sty m:val=&quot;b&quot;/&gt;&lt;/m:rPr&gt;&lt;w:rPr&gt;&lt;w:rFonts w:ascii=&quot;Cambria Math&quot; w:fareast=&quot;SimSun&quot; w:h-ansi=&quot;Cambria Math&quot; w:cs=&quot;Calibri&quot;/&gt;&lt;wx:font wx:val=&quot;Cambria Math&quot;/&gt;&lt;w:b/&gt;&lt;w:b-cs/&gt;&lt;w:color w:val=&quot;000000&quot;/&gt;&lt;w:sz w:val=&quot;22&quot;/&gt;&lt;w:sz-cs w:val=&quot;22&quot;/&gt;&lt;w:lang w:val=&quot;EN-US&quot;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Pr>
          <w:rFonts w:ascii="Times New Roman" w:hAnsi="Times New Roman" w:cs="Times New Roman"/>
          <w:i/>
          <w:iCs/>
          <w:sz w:val="20"/>
          <w:szCs w:val="20"/>
        </w:rPr>
        <w:pict w14:anchorId="7F7E8C1F">
          <v:shape id="_x0000_i1026" type="#_x0000_t75" style="width:21.9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EFE&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9A6EFE&quot; wsp:rsidP=&quot;009A6EFE&quot;&gt;&lt;m:oMathPara&gt;&lt;m:oMath&gt;&lt;m:sSub&gt;&lt;m:sSubPr&gt;&lt;m:ctrlPr&gt;&lt;w:rPr&gt;&lt;w:rFonts w:ascii=&quot;Cambria Math&quot; w:fareast=&quot;SimSun&quot; w:h-ansi=&quot;Cambria Math&quot; w:cs=&quot;Calibri&quot;/&gt;&lt;wx:font wx:val=&quot;Cambria Math&quot;/&gt;&lt;w:b/&gt;&lt;w:b-cs/&gt;&lt;w:color w:val=&quot;000000&quot;/&gt;&lt;w:sz w:val=&quot;22&quot;/&gt;&lt;w:sz-cs w:val=&quot;22&quot;/&gt;&lt;w:lang w:val=&quot;EN-US&quot; w:fareast=&quot;KO&quot;/&gt;&lt;/w:rPr&gt;&lt;/m:ctrlPr&gt;&lt;/m:sSubPr&gt;&lt;m:e&gt;&lt;m:r&gt;&lt;m:rPr&gt;&lt;m:sty m:val=&quot;bi&quot;/&gt;&lt;/m:rPr&gt;&lt;w:rPr&gt;&lt;w:rFonts w:ascii=&quot;Cambria Math&quot; w:fareast=&quot;SimSun&quot; w:h-ansi=&quot;Cambria Math&quot; w:cs=&quot;Calibri&quot;/&gt;&lt;wx:font wx:val=&quot;Cambria Math&quot;/&gt;&lt;w:b/&gt;&lt;w:b-cs/&gt;&lt;w:i/&gt;&lt;w:i-cs/&gt;&lt;w:color w:val=&quot;000000&quot;/&gt;&lt;w:sz w:val=&quot;22&quot;/&gt;&lt;w:sz-cs w:val=&quot;22&quot;/&gt;&lt;w:lang w:val=&quot;EN-US&quot; w:fareast=&quot;KO&quot;/&gt;&lt;/w:rPr&gt;&lt;m:t&gt;N&lt;/m:t&gt;&lt;/m:r&gt;&lt;/m:e&gt;&lt;m:sub&gt;&lt;m:r&gt;&lt;m:rPr&gt;&lt;m:sty m:val=&quot;bi&quot;/&gt;&lt;/m:rPr&gt;&lt;w:rPr&gt;&lt;w:rFonts w:ascii=&quot;Cambria Math&quot; w:fareast=&quot;SimSun&quot; w:h-ansi=&quot;Cambria Math&quot; w:cs=&quot;Calibri&quot;/&gt;&lt;wx:font wx:val=&quot;Cambria Math&quot;/&gt;&lt;w:b/&gt;&lt;w:b-cs/&gt;&lt;w:i/&gt;&lt;w:i-cs/&gt;&lt;w:color w:val=&quot;000000&quot;/&gt;&lt;w:sz w:val=&quot;22&quot;/&gt;&lt;w:sz-cs w:val=&quot;22&quot;/&gt;&lt;w:lang w:val=&quot;EN-US&quot; w:fareast=&quot;KO&quot;/&gt;&lt;/w:rPr&gt;&lt;m:t&gt;TA&lt;/m:t&gt;&lt;/m:r&gt;&lt;/m:sub&gt;&lt;/m:sSub&gt;&lt;m:r&gt;&lt;m:rPr&gt;&lt;m:sty m:val=&quot;b&quot;/&gt;&lt;/m:rPr&gt;&lt;w:rPr&gt;&lt;w:rFonts w:ascii=&quot;Cambria Math&quot; w:fareast=&quot;SimSun&quot; w:h-ansi=&quot;Cambria Math&quot; w:cs=&quot;Calibri&quot;/&gt;&lt;wx:font wx:val=&quot;Cambria Math&quot;/&gt;&lt;w:b/&gt;&lt;w:b-cs/&gt;&lt;w:color w:val=&quot;000000&quot;/&gt;&lt;w:sz w:val=&quot;22&quot;/&gt;&lt;w:sz-cs w:val=&quot;22&quot;/&gt;&lt;w:lang w:val=&quot;EN-US&quot;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is derived from the User specific TA self-estimation</w:t>
      </w:r>
    </w:p>
    <w:p w14:paraId="09CC0ED8" w14:textId="77777777" w:rsidR="0020031B" w:rsidRDefault="00BA3E1C">
      <w:pPr>
        <w:numPr>
          <w:ilvl w:val="0"/>
          <w:numId w:val="5"/>
        </w:numPr>
        <w:spacing w:after="0" w:line="240" w:lineRule="auto"/>
        <w:rPr>
          <w:rFonts w:ascii="Times New Roman" w:hAnsi="Times New Roman" w:cs="Times New Roman"/>
          <w:i/>
          <w:iCs/>
          <w:sz w:val="20"/>
          <w:szCs w:val="20"/>
        </w:rPr>
      </w:pP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B14819">
        <w:rPr>
          <w:rFonts w:ascii="Times New Roman" w:hAnsi="Times New Roman" w:cs="Times New Roman"/>
          <w:i/>
          <w:iCs/>
          <w:sz w:val="20"/>
          <w:szCs w:val="20"/>
        </w:rPr>
        <w:pict w14:anchorId="4845DC8F">
          <v:shape id="_x0000_i1027" type="#_x0000_t75" style="width:6.9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51B&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3751B&quot; wsp:rsidP=&quot;00D3751B&quot;&gt;&lt;m:oMathPara&gt;&lt;m:oMath&gt;&lt;m:r&gt;&lt;m:rPr&gt;&lt;m:sty m:val=&quot;b&quot;/&gt;&lt;/m:rPr&gt;&lt;w:rPr&gt;&lt;w:rFonts w:ascii=&quot;Cambria Math&quot; w:fareast=&quot;SimSun&quot; w:h-ansi=&quot;Cambria Math&quot; w:cs=&quot;Calibri&quot;/&gt;&lt;wx:font wx:val=&quot;Cambria Math&quot;/&gt;&lt;w:b/&gt;&lt;w:b-cs/&gt;&lt;w:color w:val=&quot;000000&quot;/&gt;&lt;w:sz w:val=&quot;22&quot;/&gt;&lt;w:sz-cs w:val=&quot;22&quot;/&gt;&lt;w:lang w:val=&quot;EN-US&quot; w:fareast=&quot;KO&quot;/&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Pr>
          <w:rFonts w:ascii="Times New Roman" w:hAnsi="Times New Roman" w:cs="Times New Roman"/>
          <w:i/>
          <w:iCs/>
          <w:sz w:val="20"/>
          <w:szCs w:val="20"/>
        </w:rPr>
        <w:pict w14:anchorId="06C8616D">
          <v:shape id="_x0000_i1028" type="#_x0000_t75" style="width:6.9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51B&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D3751B&quot; wsp:rsidP=&quot;00D3751B&quot;&gt;&lt;m:oMathPara&gt;&lt;m:oMath&gt;&lt;m:r&gt;&lt;m:rPr&gt;&lt;m:sty m:val=&quot;b&quot;/&gt;&lt;/m:rPr&gt;&lt;w:rPr&gt;&lt;w:rFonts w:ascii=&quot;Cambria Math&quot; w:fareast=&quot;SimSun&quot; w:h-ansi=&quot;Cambria Math&quot; w:cs=&quot;Calibri&quot;/&gt;&lt;wx:font wx:val=&quot;Cambria Math&quot;/&gt;&lt;w:b/&gt;&lt;w:b-cs/&gt;&lt;w:color w:val=&quot;000000&quot;/&gt;&lt;w:sz w:val=&quot;22&quot;/&gt;&lt;w:sz-cs w:val=&quot;22&quot;/&gt;&lt;w:lang w:val=&quot;EN-US&quot; w:fareast=&quot;KO&quot;/&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 xml:space="preserve"> is derived at least fr</w:t>
      </w:r>
      <w:r>
        <w:rPr>
          <w:rFonts w:ascii="Times New Roman" w:hAnsi="Times New Roman" w:cs="Times New Roman"/>
          <w:i/>
          <w:iCs/>
          <w:sz w:val="20"/>
          <w:szCs w:val="20"/>
          <w:lang w:eastAsia="ko-KR"/>
        </w:rPr>
        <w:t xml:space="preserve">om the common timing offset value if broadcasted by the network. The granularity of </w:t>
      </w: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B14819">
        <w:rPr>
          <w:rFonts w:ascii="Times New Roman" w:hAnsi="Times New Roman" w:cs="Times New Roman"/>
          <w:i/>
          <w:iCs/>
          <w:sz w:val="20"/>
          <w:szCs w:val="20"/>
        </w:rPr>
        <w:pict w14:anchorId="504BEB01">
          <v:shape id="_x0000_i1029" type="#_x0000_t75" style="width:7.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689&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B7689&quot; wsp:rsidP=&quot;001B7689&quot;&gt;&lt;m:oMathPara&gt;&lt;m:oMath&gt;&lt;m:r&gt;&lt;m:rPr&gt;&lt;m:sty m:val=&quot;bi&quot;/&gt;&lt;/m:rPr&gt;&lt;w:rPr&gt;&lt;w:rFonts w:ascii=&quot;Cambria Math&quot; w:fareast=&quot;SimSun&quot; w:h-ansi=&quot;Cambria Math&quot; w:cs=&quot;Calibri&quot;/&gt;&lt;wx:font wx:val=&quot;Cambria Math&quot;/&gt;&lt;w:b/&gt;&lt;w:b-cs/&gt;&lt;w:i/&gt;&lt;w:i-cs/&gt;&lt;w:color w:val=&quot;000000&quot;/&gt;&lt;w:sz w:val=&quot;22&quot;/&gt;&lt;w:sz-cs w:val=&quot;22&quot;/&gt;&lt;w:lang w:val=&quot;EN-US&quot; w:fareast=&quot;KO&quot;/&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Pr>
          <w:rFonts w:ascii="Times New Roman" w:hAnsi="Times New Roman" w:cs="Times New Roman"/>
          <w:i/>
          <w:iCs/>
          <w:sz w:val="20"/>
          <w:szCs w:val="20"/>
        </w:rPr>
        <w:pict w14:anchorId="0389E4D2">
          <v:shape id="_x0000_i1030" type="#_x0000_t75" style="width:7.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689&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B7689&quot; wsp:rsidP=&quot;001B7689&quot;&gt;&lt;m:oMathPara&gt;&lt;m:oMath&gt;&lt;m:r&gt;&lt;m:rPr&gt;&lt;m:sty m:val=&quot;bi&quot;/&gt;&lt;/m:rPr&gt;&lt;w:rPr&gt;&lt;w:rFonts w:ascii=&quot;Cambria Math&quot; w:fareast=&quot;SimSun&quot; w:h-ansi=&quot;Cambria Math&quot; w:cs=&quot;Calibri&quot;/&gt;&lt;wx:font wx:val=&quot;Cambria Math&quot;/&gt;&lt;w:b/&gt;&lt;w:b-cs/&gt;&lt;w:i/&gt;&lt;w:i-cs/&gt;&lt;w:color w:val=&quot;000000&quot;/&gt;&lt;w:sz w:val=&quot;22&quot;/&gt;&lt;w:sz-cs w:val=&quot;22&quot;/&gt;&lt;w:lang w:val=&quot;EN-US&quot; w:fareast=&quot;KO&quot;/&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 xml:space="preserve"> and whether </w:t>
      </w: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B14819">
        <w:rPr>
          <w:rFonts w:ascii="Times New Roman" w:hAnsi="Times New Roman" w:cs="Times New Roman"/>
          <w:i/>
          <w:iCs/>
          <w:sz w:val="20"/>
          <w:szCs w:val="20"/>
        </w:rPr>
        <w:pict w14:anchorId="11CD8709">
          <v:shape id="_x0000_i1031" type="#_x0000_t75" style="width:7.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94F&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4094F&quot; wsp:rsidP=&quot;00C4094F&quot;&gt;&lt;m:oMathPara&gt;&lt;m:oMath&gt;&lt;m:r&gt;&lt;m:rPr&gt;&lt;m:sty m:val=&quot;bi&quot;/&gt;&lt;/m:rPr&gt;&lt;w:rPr&gt;&lt;w:rFonts w:ascii=&quot;Cambria Math&quot; w:fareast=&quot;SimSun&quot; w:h-ansi=&quot;Cambria Math&quot; w:cs=&quot;Calibri&quot;/&gt;&lt;wx:font wx:val=&quot;Cambria Math&quot;/&gt;&lt;w:b/&gt;&lt;w:b-cs/&gt;&lt;w:i/&gt;&lt;w:i-cs/&gt;&lt;w:color w:val=&quot;000000&quot;/&gt;&lt;w:sz w:val=&quot;22&quot;/&gt;&lt;w:sz-cs w:val=&quot;22&quot;/&gt;&lt;w:lang w:val=&quot;EN-US&quot; w:fareast=&quot;KO&quot;/&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Pr>
          <w:rFonts w:ascii="Times New Roman" w:hAnsi="Times New Roman" w:cs="Times New Roman"/>
          <w:i/>
          <w:iCs/>
          <w:sz w:val="20"/>
          <w:szCs w:val="20"/>
        </w:rPr>
        <w:pict w14:anchorId="2403F435">
          <v:shape id="_x0000_i1032" type="#_x0000_t75" style="width:7.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94F&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4094F&quot; wsp:rsidP=&quot;00C4094F&quot;&gt;&lt;m:oMathPara&gt;&lt;m:oMath&gt;&lt;m:r&gt;&lt;m:rPr&gt;&lt;m:sty m:val=&quot;bi&quot;/&gt;&lt;/m:rPr&gt;&lt;w:rPr&gt;&lt;w:rFonts w:ascii=&quot;Cambria Math&quot; w:fareast=&quot;SimSun&quot; w:h-ansi=&quot;Cambria Math&quot; w:cs=&quot;Calibri&quot;/&gt;&lt;wx:font wx:val=&quot;Cambria Math&quot;/&gt;&lt;w:b/&gt;&lt;w:b-cs/&gt;&lt;w:i/&gt;&lt;w:i-cs/&gt;&lt;w:color w:val=&quot;000000&quot;/&gt;&lt;w:sz w:val=&quot;22&quot;/&gt;&lt;w:sz-cs w:val=&quot;22&quot;/&gt;&lt;w:lang w:val=&quot;EN-US&quot; w:fareast=&quot;KO&quot;/&gt;&lt;/w:rPr&gt;&lt;m:t&gt;X&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 xml:space="preserve"> is indicated as a Timing Advance or as a Timing Offset value [unit] are FFS.</w:t>
      </w:r>
      <w:r>
        <w:rPr>
          <w:rFonts w:ascii="Times New Roman" w:hAnsi="Times New Roman" w:cs="Times New Roman"/>
          <w:i/>
          <w:iCs/>
          <w:sz w:val="20"/>
          <w:szCs w:val="20"/>
        </w:rPr>
        <w:t xml:space="preserve"> Upon resolving the FFS, one of the X in the equation wi</w:t>
      </w:r>
      <w:r>
        <w:rPr>
          <w:rFonts w:ascii="Times New Roman" w:hAnsi="Times New Roman" w:cs="Times New Roman"/>
          <w:i/>
          <w:iCs/>
          <w:sz w:val="20"/>
          <w:szCs w:val="20"/>
        </w:rPr>
        <w:t>ll be removed.</w:t>
      </w:r>
    </w:p>
    <w:p w14:paraId="416FB1E6" w14:textId="77777777" w:rsidR="0020031B" w:rsidRDefault="00BA3E1C">
      <w:pPr>
        <w:numPr>
          <w:ilvl w:val="0"/>
          <w:numId w:val="5"/>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B14819">
        <w:rPr>
          <w:rFonts w:ascii="Times New Roman" w:hAnsi="Times New Roman" w:cs="Times New Roman"/>
          <w:i/>
          <w:iCs/>
          <w:sz w:val="20"/>
          <w:szCs w:val="20"/>
        </w:rPr>
        <w:pict w14:anchorId="2F9976AA">
          <v:shape id="_x0000_i1033" type="#_x0000_t75" style="width:48.85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5BD&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035BD&quot; wsp:rsidP=&quot;00C035BD&quot;&gt;&lt;m:oMathPara&gt;&lt;m:oMath&gt;&lt;m:sSub&gt;&lt;m:sSubPr&gt;&lt;m:ctrlPr&gt;&lt;w:rPr&gt;&lt;w:rFonts w:ascii=&quot;Cambria Math&quot; w:fareast=&quot;SimSun&quot; w:h-ansi=&quot;Cambria Math&quot; w:cs=&quot;Calibri&quot;/&gt;&lt;wx:font wx:val=&quot;Cambria Math&quot;/&gt;&lt;w:b/&gt;&lt;w:b-cs/&gt;&lt;w:sz w:val=&quot;22&quot;/&gt;&lt;w:sz-cs w:val=&quot;22&quot;/&gt;&lt;w:lang w:val=&quot;EN-US&quot; w:fareast=&quot;KO&quot;/&gt;&lt;/w:rPr&gt;&lt;/m:ctrlPr&gt;&lt;/m:sSubPr&gt;&lt;m:e&gt;&lt;m:r&gt;&lt;m:rPr&gt;&lt;m:sty m:val=&quot;bi&quot;/&gt;&lt;/m:rPr&gt;&lt;w:rPr&gt;&lt;w:rFonts w:ascii=&quot;Cambria Math&quot; w:fareast=&quot;SimSun&quot; w:h-ansi=&quot;Cambria Math&quot; w:cs=&quot;Calibri&quot;/&gt;&lt;wx:font wx:val=&quot;Cambria Math&quot;/&gt;&lt;w:b/&gt;&lt;w:b-cs/&gt;&lt;w:i/&gt;&lt;w:i-cs/&gt;&lt;w:sz w:val=&quot;22&quot;/&gt;&lt;w:sz-cs w:val=&quot;22&quot;/&gt;&lt;w:lang w:val=&quot;EN-US&quot; w:fareast=&quot;KO&quot;/&gt;&lt;/w:rPr&gt;&lt;m:t&gt;N&lt;/m:t&gt;&lt;/m:r&gt;&lt;/m:e&gt;&lt;m:sub&gt;&lt;m:r&gt;&lt;m:rPr&gt;&lt;m:sty m:val=&quot;bi&quot;/&gt;&lt;/m:rPr&gt;&lt;w:rPr&gt;&lt;w:rFonts w:ascii=&quot;Cambria Math&quot; w:fareast=&quot;SimSun&quot; w:h-ansi=&quot;Cambria Math&quot; w:cs=&quot;Calibri&quot;/&gt;&lt;wx:font wx:val=&quot;Cambria Math&quot;/&gt;&lt;w:b/&gt;&lt;w:b-cs/&gt;&lt;w:i/&gt;&lt;w:i-cs/&gt;&lt;w:sz w:val=&quot;22&quot;/&gt;&lt;w:sz-cs w:val=&quot;22&quot;/&gt;&lt;w:lang w:val=&quot;EN-US&quot; w:fareast=&quot;KO&quot;/&gt;&lt;/w:rPr&gt;&lt;m:t&gt;TA&lt;/m:t&gt;&lt;/m:r&gt;&lt;m:r&gt;&lt;m:rPr&gt;&lt;m:sty m:val=&quot;b&quot;/&gt;&lt;/m:rPr&gt;&lt;w:rPr&gt;&lt;w:rFonts w:ascii=&quot;Cambria Math&quot; w:fareast=&quot;SimSun&quot; w:h-ansi=&quot;Cambria Math&quot; w:cs=&quot;Calibri&quot;/&gt;&lt;wx:font wx:val=&quot;Cambria Math&quot;/&gt;&lt;w:b/&gt;&lt;w:b-cs/&gt;&lt;w:sz w:val=&quot;22&quot;/&gt;&lt;w:sz-cs w:val=&quot;22&quot;/&gt;&lt;w:lang w:val=&quot;EN-US&quot; w:fareast=&quot;KO&quot;/&gt;&lt;/w:rPr&gt;&lt;m:t&gt;, &lt;/m:t&gt;&lt;/m:r&gt;&lt;m:r&gt;&lt;m:rPr&gt;&lt;m:sty m:val=&quot;bi&quot;/&gt;&lt;/m:rPr&gt;&lt;w:rPr&gt;&lt;w:rFonts w:ascii=&quot;Cambria Math&quot; w:fareast=&quot;SimSun&quot; w:h-ansi=&quot;Cambria Math&quot; w:cs=&quot;Calibri&quot;/&gt;&lt;wx:font wx:val=&quot;Cambria Math&quot;/&gt;&lt;w:b/&gt;&lt;w:b-cs/&gt;&lt;w:i/&gt;&lt;w:i-cs/&gt;&lt;w:sz w:val=&quot;22&quot;/&gt;&lt;w:sz-cs w:val=&quot;22&quot;/&gt;&lt;w:lang w:val=&quot;EN-US&quot; w:fareast=&quot;KO&quot;/&gt;&lt;/w:rPr&gt;&lt;m:t&gt;offset&lt;/m:t&gt;&lt;/m:r&gt;&lt;/m:sub&gt;&lt;/m:sSub&gt;&lt;m:r&gt;&lt;m:rPr&gt;&lt;m:sty m:val=&quot;b&quot;/&gt;&lt;/m:rPr&gt;&lt;w:rPr&gt;&lt;w:rFonts w:ascii=&quot;Cambria Math&quot; w:fareast=&quot;SimSun&quot; w:h-ansi=&quot;Cambria Math&quot; w:cs=&quot;Calibri&quot;/&gt;&lt;wx:font wx:val=&quot;Cambria Math&quot;/&gt;&lt;w:b/&gt;&lt;w:b-cs/&gt;&lt;w:sz w:val=&quot;22&quot;/&gt;&lt;w:sz-cs w:val=&quot;22&quot;/&gt;&lt;w:lang w:val=&quot;EN-US&quot;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Pr>
          <w:rFonts w:ascii="Times New Roman" w:hAnsi="Times New Roman" w:cs="Times New Roman"/>
          <w:i/>
          <w:iCs/>
          <w:sz w:val="20"/>
          <w:szCs w:val="20"/>
        </w:rPr>
        <w:pict w14:anchorId="3E4CFF9B">
          <v:shape id="_x0000_i1034" type="#_x0000_t75" style="width:48.85pt;height:14.4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5BD&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C035BD&quot; wsp:rsidP=&quot;00C035BD&quot;&gt;&lt;m:oMathPara&gt;&lt;m:oMath&gt;&lt;m:sSub&gt;&lt;m:sSubPr&gt;&lt;m:ctrlPr&gt;&lt;w:rPr&gt;&lt;w:rFonts w:ascii=&quot;Cambria Math&quot; w:fareast=&quot;SimSun&quot; w:h-ansi=&quot;Cambria Math&quot; w:cs=&quot;Calibri&quot;/&gt;&lt;wx:font wx:val=&quot;Cambria Math&quot;/&gt;&lt;w:b/&gt;&lt;w:b-cs/&gt;&lt;w:sz w:val=&quot;22&quot;/&gt;&lt;w:sz-cs w:val=&quot;22&quot;/&gt;&lt;w:lang w:val=&quot;EN-US&quot; w:fareast=&quot;KO&quot;/&gt;&lt;/w:rPr&gt;&lt;/m:ctrlPr&gt;&lt;/m:sSubPr&gt;&lt;m:e&gt;&lt;m:r&gt;&lt;m:rPr&gt;&lt;m:sty m:val=&quot;bi&quot;/&gt;&lt;/m:rPr&gt;&lt;w:rPr&gt;&lt;w:rFonts w:ascii=&quot;Cambria Math&quot; w:fareast=&quot;SimSun&quot; w:h-ansi=&quot;Cambria Math&quot; w:cs=&quot;Calibri&quot;/&gt;&lt;wx:font wx:val=&quot;Cambria Math&quot;/&gt;&lt;w:b/&gt;&lt;w:b-cs/&gt;&lt;w:i/&gt;&lt;w:i-cs/&gt;&lt;w:sz w:val=&quot;22&quot;/&gt;&lt;w:sz-cs w:val=&quot;22&quot;/&gt;&lt;w:lang w:val=&quot;EN-US&quot; w:fareast=&quot;KO&quot;/&gt;&lt;/w:rPr&gt;&lt;m:t&gt;N&lt;/m:t&gt;&lt;/m:r&gt;&lt;/m:e&gt;&lt;m:sub&gt;&lt;m:r&gt;&lt;m:rPr&gt;&lt;m:sty m:val=&quot;bi&quot;/&gt;&lt;/m:rPr&gt;&lt;w:rPr&gt;&lt;w:rFonts w:ascii=&quot;Cambria Math&quot; w:fareast=&quot;SimSun&quot; w:h-ansi=&quot;Cambria Math&quot; w:cs=&quot;Calibri&quot;/&gt;&lt;wx:font wx:val=&quot;Cambria Math&quot;/&gt;&lt;w:b/&gt;&lt;w:b-cs/&gt;&lt;w:i/&gt;&lt;w:i-cs/&gt;&lt;w:sz w:val=&quot;22&quot;/&gt;&lt;w:sz-cs w:val=&quot;22&quot;/&gt;&lt;w:lang w:val=&quot;EN-US&quot; w:fareast=&quot;KO&quot;/&gt;&lt;/w:rPr&gt;&lt;m:t&gt;TA&lt;/m:t&gt;&lt;/m:r&gt;&lt;m:r&gt;&lt;m:rPr&gt;&lt;m:sty m:val=&quot;b&quot;/&gt;&lt;/m:rPr&gt;&lt;w:rPr&gt;&lt;w:rFonts w:ascii=&quot;Cambria Math&quot; w:fareast=&quot;SimSun&quot; w:h-ansi=&quot;Cambria Math&quot; w:cs=&quot;Calibri&quot;/&gt;&lt;wx:font wx:val=&quot;Cambria Math&quot;/&gt;&lt;w:b/&gt;&lt;w:b-cs/&gt;&lt;w:sz w:val=&quot;22&quot;/&gt;&lt;w:sz-cs w:val=&quot;22&quot;/&gt;&lt;w:lang w:val=&quot;EN-US&quot; w:fareast=&quot;KO&quot;/&gt;&lt;/w:rPr&gt;&lt;m:t&gt;, &lt;/m:t&gt;&lt;/m:r&gt;&lt;m:r&gt;&lt;m:rPr&gt;&lt;m:sty m:val=&quot;bi&quot;/&gt;&lt;/m:rPr&gt;&lt;w:rPr&gt;&lt;w:rFonts w:ascii=&quot;Cambria Math&quot; w:fareast=&quot;SimSun&quot; w:h-ansi=&quot;Cambria Math&quot; w:cs=&quot;Calibri&quot;/&gt;&lt;wx:font wx:val=&quot;Cambria Math&quot;/&gt;&lt;w:b/&gt;&lt;w:b-cs/&gt;&lt;w:i/&gt;&lt;w:i-cs/&gt;&lt;w:sz w:val=&quot;22&quot;/&gt;&lt;w:sz-cs w:val=&quot;22&quot;/&gt;&lt;w:lang w:val=&quot;EN-US&quot; w:fareast=&quot;KO&quot;/&gt;&lt;/w:rPr&gt;&lt;m:t&gt;offset&lt;/m:t&gt;&lt;/m:r&gt;&lt;/m:sub&gt;&lt;/m:sSub&gt;&lt;m:r&gt;&lt;m:rPr&gt;&lt;m:sty m:val=&quot;b&quot;/&gt;&lt;/m:rPr&gt;&lt;w:rPr&gt;&lt;w:rFonts w:ascii=&quot;Cambria Math&quot; w:fareast=&quot;SimSun&quot; w:h-ansi=&quot;Cambria Math&quot; w:cs=&quot;Calibri&quot;/&gt;&lt;wx:font wx:val=&quot;Cambria Math&quot;/&gt;&lt;w:b/&gt;&lt;w:b-cs/&gt;&lt;w:sz w:val=&quot;22&quot;/&gt;&lt;w:sz-cs w:val=&quot;22&quot;/&gt;&lt;w:lang w:val=&quot;EN-US&quot; w:fareast=&quot;KO&quot;/&gt;&lt;/w:rPr&gt;&lt;m:t&gt;?&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depends on band and LTE/NR coexistence and is specified in TS 38.213 section 4.2.</w:t>
      </w:r>
    </w:p>
    <w:p w14:paraId="5544A554" w14:textId="77777777" w:rsidR="0020031B" w:rsidRDefault="00BA3E1C">
      <w:pPr>
        <w:numPr>
          <w:ilvl w:val="0"/>
          <w:numId w:val="5"/>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fldChar w:fldCharType="begin"/>
      </w:r>
      <w:r>
        <w:rPr>
          <w:rFonts w:ascii="Times New Roman" w:hAnsi="Times New Roman" w:cs="Times New Roman"/>
          <w:i/>
          <w:iCs/>
          <w:sz w:val="20"/>
          <w:szCs w:val="20"/>
          <w:lang w:eastAsia="ko-KR"/>
        </w:rPr>
        <w:instrText xml:space="preserve"> QUOTE </w:instrText>
      </w:r>
      <w:r w:rsidR="00B14819">
        <w:rPr>
          <w:rFonts w:ascii="Times New Roman" w:hAnsi="Times New Roman" w:cs="Times New Roman"/>
          <w:i/>
          <w:iCs/>
          <w:sz w:val="20"/>
          <w:szCs w:val="20"/>
        </w:rPr>
        <w:pict w14:anchorId="4631C283">
          <v:shape id="_x0000_i1035" type="#_x0000_t75" style="width:11.2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43&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03843&quot; wsp:rsidP=&quot;00E03843&quot;&gt;&lt;m:oMathPara&gt;&lt;m:oMath&gt;&lt;m:sSub&gt;&lt;m:sSubPr&gt;&lt;m:ctrlPr&gt;&lt;w:rPr&gt;&lt;w:rFonts w:ascii=&quot;Cambria Math&quot; w:fareast=&quot;SimSun&quot; w:h-ansi=&quot;Cambria Math&quot; w:cs=&quot;Calibri&quot;/&gt;&lt;wx:font wx:val=&quot;Cambria Math&quot;/&gt;&lt;w:b/&gt;&lt;w:b-cs/&gt;&lt;w:sz w:val=&quot;22&quot;/&gt;&lt;w:sz-cs w:val=&quot;22&quot;/&gt;&lt;w:lang w:val=&quot;EN-US&quot; w:fareast=&quot;KO&quot;/&gt;&lt;/w:rPr&gt;&lt;/m:ctrlPr&gt;&lt;/m:sSubPr&gt;&lt;m:e&gt;&lt;m:r&gt;&lt;m:rPr&gt;&lt;m:sty m:val=&quot;b&quot;/&gt;&lt;/m:rPr&gt;&lt;w:rPr&gt;&lt;w:rFonts w:ascii=&quot;Cambria Math&quot; w:fareast=&quot;SimSun&quot; w:h-ansi=&quot;Cambria Math&quot; w:cs=&quot;Calibri&quot;/&gt;&lt;wx:font wx:val=&quot;Cambria Math&quot;/&gt;&lt;w:b/&gt;&lt;w:b-cs/&gt;&lt;w:sz w:val=&quot;22&quot;/&gt;&lt;w:sz-cs w:val=&quot;22&quot;/&gt;&lt;w:lang w:val=&quot;EN-US&quot; w:fareast=&quot;KO&quot;/&gt;&lt;/w:rPr&gt;&lt;m:t&gt;T&lt;/m:t&gt;&lt;/m:r&gt;&lt;/m:e&gt;&lt;m:sub&gt;&lt;m:r&gt;&lt;m:rPr&gt;&lt;m:sty m:val=&quot;b&quot;/&gt;&lt;/m:rPr&gt;&lt;w:rPr&gt;&lt;w:rFonts w:ascii=&quot;Cambria Math&quot; w:fareast=&quot;SimSun&quot; w:h-ansi=&quot;Cambria Math&quot; w:cs=&quot;Calibri&quot;/&gt;&lt;wx:font wx:val=&quot;Cambria Math&quot;/&gt;&lt;w:b/&gt;&lt;w:b-cs/&gt;&lt;w:sz w:val=&quot;22&quot;/&gt;&lt;w:sz-cs w:val=&quot;22&quot;/&gt;&lt;w:lang w:val=&quot;EN-US&quot; w:fareast=&quot;KO&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hAnsi="Times New Roman" w:cs="Times New Roman"/>
          <w:i/>
          <w:iCs/>
          <w:sz w:val="20"/>
          <w:szCs w:val="20"/>
          <w:lang w:eastAsia="ko-KR"/>
        </w:rPr>
        <w:instrText xml:space="preserve"> </w:instrText>
      </w:r>
      <w:r>
        <w:rPr>
          <w:rFonts w:ascii="Times New Roman" w:hAnsi="Times New Roman" w:cs="Times New Roman"/>
          <w:i/>
          <w:iCs/>
          <w:sz w:val="20"/>
          <w:szCs w:val="20"/>
          <w:lang w:eastAsia="ko-KR"/>
        </w:rPr>
        <w:fldChar w:fldCharType="separate"/>
      </w:r>
      <w:r>
        <w:rPr>
          <w:rFonts w:ascii="Times New Roman" w:hAnsi="Times New Roman" w:cs="Times New Roman"/>
          <w:i/>
          <w:iCs/>
          <w:sz w:val="20"/>
          <w:szCs w:val="20"/>
        </w:rPr>
        <w:pict w14:anchorId="5C20715E">
          <v:shape id="_x0000_i1036" type="#_x0000_t75" style="width:11.25pt;height:12.5pt"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44&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E62&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C57&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3F26&quot;/&gt;&lt;wsp:rsid wsp:val=&quot;0003416E&quot;/&gt;&lt;wsp:rsid wsp:val=&quot;00034289&quot;/&gt;&lt;wsp:rsid wsp:val=&quot;000345AB&quot;/&gt;&lt;wsp:rsid wsp:val=&quot;00034769&quot;/&gt;&lt;wsp:rsid wsp:val=&quot;0003486E&quot;/&gt;&lt;wsp:rsid wsp:val=&quot;0003491B&quot;/&gt;&lt;wsp:rsid wsp:val=&quot;000349CF&quot;/&gt;&lt;wsp:rsid wsp:val=&quot;000349E0&quot;/&gt;&lt;wsp:rsid wsp:val=&quot;00034A71&quot;/&gt;&lt;wsp:rsid wsp:val=&quot;00034E5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100&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D0C&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3F9&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DC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52F&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69C&quot;/&gt;&lt;wsp:rsid wsp:val=&quot;000C295A&quot;/&gt;&lt;wsp:rsid wsp:val=&quot;000C2A35&quot;/&gt;&lt;wsp:rsid wsp:val=&quot;000C2AA8&quot;/&gt;&lt;wsp:rsid wsp:val=&quot;000C301D&quot;/&gt;&lt;wsp:rsid wsp:val=&quot;000C33E5&quot;/&gt;&lt;wsp:rsid wsp:val=&quot;000C34CD&quot;/&gt;&lt;wsp:rsid wsp:val=&quot;000C3759&quot;/&gt;&lt;wsp:rsid wsp:val=&quot;000C37CF&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5&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90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39D&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ACA&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9D4&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039&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907&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3B&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2AF&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09&quot;/&gt;&lt;wsp:rsid wsp:val=&quot;001A2158&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3C&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9D3&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7F5&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BCD&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D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A23&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A02&quot;/&gt;&lt;wsp:rsid wsp:val=&quot;00224B95&quot;/&gt;&lt;wsp:rsid wsp:val=&quot;00224C55&quot;/&gt;&lt;wsp:rsid wsp:val=&quot;00224D37&quot;/&gt;&lt;wsp:rsid wsp:val=&quot;00225146&quot;/&gt;&lt;wsp:rsid wsp:val=&quot;002251C7&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0B&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24&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6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11&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1BF&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5F2&quot;/&gt;&lt;wsp:rsid wsp:val=&quot;002806E6&quot;/&gt;&lt;wsp:rsid wsp:val=&quot;002807CC&quot;/&gt;&lt;wsp:rsid wsp:val=&quot;00280846&quot;/&gt;&lt;wsp:rsid wsp:val=&quot;00280991&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70&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F22&quot;/&gt;&lt;wsp:rsid wsp:val=&quot;002A7F2E&quot;/&gt;&lt;wsp:rsid wsp:val=&quot;002A7F94&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3CC4&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01B&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1BF&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20E&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1C7&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AE9&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BF8&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86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3EDE&quot;/&gt;&lt;wsp:rsid wsp:val=&quot;003742F9&quot;/&gt;&lt;wsp:rsid wsp:val=&quot;0037457C&quot;/&gt;&lt;wsp:rsid wsp:val=&quot;00374DB9&quot;/&gt;&lt;wsp:rsid wsp:val=&quot;00375900&quot;/&gt;&lt;wsp:rsid wsp:val=&quot;00375B51&quot;/&gt;&lt;wsp:rsid wsp:val=&quot;00375DC6&quot;/&gt;&lt;wsp:rsid wsp:val=&quot;0037602A&quot;/&gt;&lt;wsp:rsid wsp:val=&quot;00376098&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0&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B99&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45&quot;/&gt;&lt;wsp:rsid wsp:val=&quot;003A498D&quot;/&gt;&lt;wsp:rsid wsp:val=&quot;003A49FC&quot;/&gt;&lt;wsp:rsid wsp:val=&quot;003A4A21&quot;/&gt;&lt;wsp:rsid wsp:val=&quot;003A4AB5&quot;/&gt;&lt;wsp:rsid wsp:val=&quot;003A4BBD&quot;/&gt;&lt;wsp:rsid wsp:val=&quot;003A4CE4&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33E&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58&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836&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09C&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9F3&quot;/&gt;&lt;wsp:rsid wsp:val=&quot;00422BE9&quot;/&gt;&lt;wsp:rsid wsp:val=&quot;00422DD4&quot;/&gt;&lt;wsp:rsid wsp:val=&quot;00422F66&quot;/&gt;&lt;wsp:rsid wsp:val=&quot;00423235&quot;/&gt;&lt;wsp:rsid wsp:val=&quot;004238A7&quot;/&gt;&lt;wsp:rsid wsp:val=&quot;004239E0&quot;/&gt;&lt;wsp:rsid wsp:val=&quot;00423A63&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5D83&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9F9&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EF0&quot;/&gt;&lt;wsp:rsid wsp:val=&quot;00442254&quot;/&gt;&lt;wsp:rsid wsp:val=&quot;00442437&quot;/&gt;&lt;wsp:rsid wsp:val=&quot;00442874&quot;/&gt;&lt;wsp:rsid wsp:val=&quot;00442CCA&quot;/&gt;&lt;wsp:rsid wsp:val=&quot;00442E0C&quot;/&gt;&lt;wsp:rsid wsp:val=&quot;00442F53&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70&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1E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D8B&quot;/&gt;&lt;wsp:rsid wsp:val=&quot;00486F4D&quot;/&gt;&lt;wsp:rsid wsp:val=&quot;00486F9A&quot;/&gt;&lt;wsp:rsid wsp:val=&quot;00487638&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4DE&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9A4&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532&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6E3D&quot;/&gt;&lt;wsp:rsid wsp:val=&quot;005272FC&quot;/&gt;&lt;wsp:rsid wsp:val=&quot;00527429&quot;/&gt;&lt;wsp:rsid wsp:val=&quot;0052745D&quot;/&gt;&lt;wsp:rsid wsp:val=&quot;0052777C&quot;/&gt;&lt;wsp:rsid wsp:val=&quot;005277AD&quot;/&gt;&lt;wsp:rsid wsp:val=&quot;00527B82&quot;/&gt;&lt;wsp:rsid wsp:val=&quot;00527DCA&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25&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B16&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C7C&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4E&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7C8&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64&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37F&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3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30F&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53C&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99D&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80E&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03F&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AF&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7A3&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50&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3DEA&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6BA&quot;/&gt;&lt;wsp:rsid wsp:val=&quot;006649C2&quot;/&gt;&lt;wsp:rsid wsp:val=&quot;00664C68&quot;/&gt;&lt;wsp:rsid wsp:val=&quot;00664CB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907&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AF5&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6B&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2B7&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32&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4A8&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9BC&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7F&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005&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8D4&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D88&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D8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B02&quot;/&gt;&lt;wsp:rsid wsp:val=&quot;00794CB0&quot;/&gt;&lt;wsp:rsid wsp:val=&quot;00794D03&quot;/&gt;&lt;wsp:rsid wsp:val=&quot;00794DE9&quot;/&gt;&lt;wsp:rsid wsp:val=&quot;00794F7B&quot;/&gt;&lt;wsp:rsid wsp:val=&quot;0079501D&quot;/&gt;&lt;wsp:rsid wsp:val=&quot;007951AF&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82D&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71B&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5A&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67&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4D1&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36E&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3EC7&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C6C&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57E72&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1E&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A9F&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85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0A2&quot;/&gt;&lt;wsp:rsid wsp:val=&quot;008971AB&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ADC&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D6C&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AA&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68&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4A1&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25&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22A&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BE9&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47A&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BFA&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3E7&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5CD&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9C9&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12&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9F7B8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AC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633&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0EDC&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1DDB&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EBC&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851&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835&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2D0&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B77&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1D69&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19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1E1&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2F9A&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B0B&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CAF&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720&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5B1&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B51&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2F9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C99&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574&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5EF8&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07D&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AF&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1F&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3D&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4E55&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530&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39C&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068&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A83&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2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5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B85&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737&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4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7&quot;/&gt;&lt;wsp:rsid wsp:val=&quot;00D80C1E&quot;/&gt;&lt;wsp:rsid wsp:val=&quot;00D80E15&quot;/&gt;&lt;wsp:rsid wsp:val=&quot;00D80F4E&quot;/&gt;&lt;wsp:rsid wsp:val=&quot;00D80FD9&quot;/&gt;&lt;wsp:rsid wsp:val=&quot;00D80FEF&quot;/&gt;&lt;wsp:rsid wsp:val=&quot;00D81218&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A75&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90E&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171&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A3&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8AF&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43&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6A3&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534&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4F5&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49B&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8AF&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674&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7C0&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40&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71F7&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1FEA&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43&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D6&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1C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A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164&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07&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375&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58B&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896&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03843&quot; wsp:rsidP=&quot;00E03843&quot;&gt;&lt;m:oMathPara&gt;&lt;m:oMath&gt;&lt;m:sSub&gt;&lt;m:sSubPr&gt;&lt;m:ctrlPr&gt;&lt;w:rPr&gt;&lt;w:rFonts w:ascii=&quot;Cambria Math&quot; w:fareast=&quot;SimSun&quot; w:h-ansi=&quot;Cambria Math&quot; w:cs=&quot;Calibri&quot;/&gt;&lt;wx:font wx:val=&quot;Cambria Math&quot;/&gt;&lt;w:b/&gt;&lt;w:b-cs/&gt;&lt;w:sz w:val=&quot;22&quot;/&gt;&lt;w:sz-cs w:val=&quot;22&quot;/&gt;&lt;w:lang w:val=&quot;EN-US&quot; w:fareast=&quot;KO&quot;/&gt;&lt;/w:rPr&gt;&lt;/m:ctrlPr&gt;&lt;/m:sSubPr&gt;&lt;m:e&gt;&lt;m:r&gt;&lt;m:rPr&gt;&lt;m:sty m:val=&quot;b&quot;/&gt;&lt;/m:rPr&gt;&lt;w:rPr&gt;&lt;w:rFonts w:ascii=&quot;Cambria Math&quot; w:fareast=&quot;SimSun&quot; w:h-ansi=&quot;Cambria Math&quot; w:cs=&quot;Calibri&quot;/&gt;&lt;wx:font wx:val=&quot;Cambria Math&quot;/&gt;&lt;w:b/&gt;&lt;w:b-cs/&gt;&lt;w:sz w:val=&quot;22&quot;/&gt;&lt;w:sz-cs w:val=&quot;22&quot;/&gt;&lt;w:lang w:val=&quot;EN-US&quot; w:fareast=&quot;KO&quot;/&gt;&lt;/w:rPr&gt;&lt;m:t&gt;T&lt;/m:t&gt;&lt;/m:r&gt;&lt;/m:e&gt;&lt;m:sub&gt;&lt;m:r&gt;&lt;m:rPr&gt;&lt;m:sty m:val=&quot;b&quot;/&gt;&lt;/m:rPr&gt;&lt;w:rPr&gt;&lt;w:rFonts w:ascii=&quot;Cambria Math&quot; w:fareast=&quot;SimSun&quot; w:h-ansi=&quot;Cambria Math&quot; w:cs=&quot;Calibri&quot;/&gt;&lt;wx:font wx:val=&quot;Cambria Math&quot;/&gt;&lt;w:b/&gt;&lt;w:b-cs/&gt;&lt;w:sz w:val=&quot;22&quot;/&gt;&lt;w:sz-cs w:val=&quot;22&quot;/&gt;&lt;w:lang w:val=&quot;EN-US&quot; w:fareast=&quot;KO&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Pr>
          <w:rFonts w:ascii="Times New Roman" w:hAnsi="Times New Roman" w:cs="Times New Roman"/>
          <w:i/>
          <w:iCs/>
          <w:sz w:val="20"/>
          <w:szCs w:val="20"/>
          <w:lang w:eastAsia="ko-KR"/>
        </w:rPr>
        <w:fldChar w:fldCharType="end"/>
      </w:r>
      <w:r>
        <w:rPr>
          <w:rFonts w:ascii="Times New Roman" w:hAnsi="Times New Roman" w:cs="Times New Roman"/>
          <w:i/>
          <w:iCs/>
          <w:sz w:val="20"/>
          <w:szCs w:val="20"/>
          <w:lang w:eastAsia="ko-KR"/>
        </w:rPr>
        <w:t xml:space="preserve"> is specified in TS 38.211 section 4.1. </w:t>
      </w:r>
    </w:p>
    <w:p w14:paraId="0DBCAC2B" w14:textId="77777777" w:rsidR="0020031B" w:rsidRDefault="00BA3E1C">
      <w:pPr>
        <w:numPr>
          <w:ilvl w:val="0"/>
          <w:numId w:val="5"/>
        </w:numPr>
        <w:spacing w:after="0" w:line="240" w:lineRule="auto"/>
        <w:rPr>
          <w:rFonts w:ascii="Times New Roman" w:hAnsi="Times New Roman" w:cs="Times New Roman"/>
          <w:i/>
          <w:iCs/>
          <w:sz w:val="20"/>
          <w:szCs w:val="20"/>
          <w:lang w:eastAsia="ko-KR"/>
        </w:rPr>
      </w:pPr>
      <w:r>
        <w:rPr>
          <w:rFonts w:ascii="Times New Roman" w:hAnsi="Times New Roman" w:cs="Times New Roman"/>
          <w:i/>
          <w:iCs/>
          <w:sz w:val="20"/>
          <w:szCs w:val="20"/>
          <w:lang w:eastAsia="ko-KR"/>
        </w:rPr>
        <w:t>Note: UE will not assume that the RTT between UE and gNB is equal to the calculated TA for M</w:t>
      </w:r>
      <w:r>
        <w:rPr>
          <w:rFonts w:ascii="Times New Roman" w:hAnsi="Times New Roman" w:cs="Times New Roman"/>
          <w:i/>
          <w:iCs/>
          <w:sz w:val="20"/>
          <w:szCs w:val="20"/>
          <w:lang w:eastAsia="ko-KR"/>
        </w:rPr>
        <w:t>sg1/Msg A.</w:t>
      </w:r>
    </w:p>
    <w:p w14:paraId="1A25A957" w14:textId="77777777" w:rsidR="0020031B" w:rsidRDefault="0020031B">
      <w:pPr>
        <w:spacing w:after="0" w:line="240" w:lineRule="auto"/>
        <w:rPr>
          <w:rFonts w:ascii="Times" w:eastAsia="宋体" w:hAnsi="Times" w:cs="Times"/>
          <w:color w:val="000000"/>
          <w:sz w:val="21"/>
          <w:szCs w:val="20"/>
          <w:highlight w:val="darkYellow"/>
          <w:lang w:eastAsia="ko-KR"/>
        </w:rPr>
      </w:pPr>
    </w:p>
    <w:p w14:paraId="31DE3F87" w14:textId="77777777" w:rsidR="0020031B" w:rsidRDefault="00BA3E1C">
      <w:pPr>
        <w:spacing w:after="0" w:line="240" w:lineRule="auto"/>
        <w:ind w:firstLine="420"/>
        <w:rPr>
          <w:rFonts w:ascii="Times New Roman" w:eastAsia="宋体" w:hAnsi="Times New Roman" w:cs="Times New Roman"/>
          <w:i/>
          <w:iCs/>
          <w:color w:val="000000"/>
          <w:sz w:val="20"/>
          <w:szCs w:val="20"/>
          <w:highlight w:val="darkYellow"/>
          <w:lang w:eastAsia="ko-KR"/>
        </w:rPr>
      </w:pPr>
      <w:r>
        <w:rPr>
          <w:rFonts w:ascii="Times New Roman" w:eastAsia="宋体" w:hAnsi="Times New Roman" w:cs="Times New Roman"/>
          <w:i/>
          <w:iCs/>
          <w:color w:val="000000"/>
          <w:sz w:val="20"/>
          <w:szCs w:val="20"/>
          <w:highlight w:val="darkYellow"/>
          <w:lang w:eastAsia="ko-KR"/>
        </w:rPr>
        <w:t>Working assumption:</w:t>
      </w:r>
    </w:p>
    <w:p w14:paraId="3637FE7A" w14:textId="77777777" w:rsidR="0020031B" w:rsidRDefault="00BA3E1C">
      <w:pPr>
        <w:spacing w:beforeLines="50" w:before="120" w:afterLines="50" w:after="120" w:line="240" w:lineRule="auto"/>
        <w:ind w:leftChars="200" w:left="440"/>
        <w:jc w:val="both"/>
        <w:rPr>
          <w:rFonts w:ascii="Times New Roman" w:hAnsi="Times New Roman" w:cs="Times New Roman"/>
          <w:i/>
          <w:iCs/>
          <w:sz w:val="20"/>
          <w:szCs w:val="20"/>
          <w:lang w:eastAsia="ko-KR"/>
        </w:rPr>
      </w:pPr>
      <w:r>
        <w:rPr>
          <w:rFonts w:ascii="Times New Roman" w:hAnsi="Times New Roman" w:cs="Times New Roman"/>
          <w:i/>
          <w:iCs/>
          <w:sz w:val="20"/>
          <w:szCs w:val="20"/>
          <w:lang w:eastAsia="ko-KR"/>
        </w:rPr>
        <w:t xml:space="preserve">It is assumed that the requirement on UL time pre-compensation for Msg1/MsgA transmission of an NR NTN UE in idle/inactive mode will be defined such that the existing TAC 12-bit field in msg2 (or msgB) can be reused without </w:t>
      </w:r>
      <w:r>
        <w:rPr>
          <w:rFonts w:ascii="Times New Roman" w:hAnsi="Times New Roman" w:cs="Times New Roman"/>
          <w:i/>
          <w:iCs/>
          <w:sz w:val="20"/>
          <w:szCs w:val="20"/>
          <w:lang w:eastAsia="ko-KR"/>
        </w:rPr>
        <w:t>any extension.</w:t>
      </w:r>
    </w:p>
    <w:p w14:paraId="1D2A5F65" w14:textId="77777777" w:rsidR="0020031B" w:rsidRDefault="00BA3E1C">
      <w:pPr>
        <w:spacing w:beforeLines="50" w:before="120" w:afterLines="50" w:after="120" w:line="240" w:lineRule="auto"/>
        <w:ind w:leftChars="200" w:left="440"/>
        <w:jc w:val="both"/>
        <w:rPr>
          <w:rFonts w:ascii="Times New Roman" w:hAnsi="Times New Roman"/>
          <w:i/>
          <w:iCs/>
          <w:sz w:val="20"/>
          <w:szCs w:val="20"/>
          <w:highlight w:val="green"/>
          <w:lang w:eastAsia="ko-KR"/>
        </w:rPr>
      </w:pPr>
      <w:r>
        <w:rPr>
          <w:rFonts w:ascii="Times New Roman" w:hAnsi="Times New Roman"/>
          <w:i/>
          <w:iCs/>
          <w:sz w:val="20"/>
          <w:szCs w:val="20"/>
          <w:highlight w:val="green"/>
          <w:lang w:eastAsia="ko-KR"/>
        </w:rPr>
        <w:t>Agreement:</w:t>
      </w:r>
    </w:p>
    <w:p w14:paraId="7D9A6DB2" w14:textId="77777777" w:rsidR="0020031B" w:rsidRDefault="00BA3E1C">
      <w:pPr>
        <w:spacing w:beforeLines="50" w:before="120" w:afterLines="50" w:after="120" w:line="240" w:lineRule="auto"/>
        <w:ind w:leftChars="200" w:left="440"/>
        <w:jc w:val="both"/>
        <w:rPr>
          <w:rFonts w:ascii="Times New Roman" w:hAnsi="Times New Roman"/>
          <w:sz w:val="20"/>
          <w:szCs w:val="20"/>
        </w:rPr>
      </w:pPr>
      <w:r>
        <w:rPr>
          <w:rFonts w:ascii="Times New Roman" w:hAnsi="Times New Roman" w:cs="Times New Roman"/>
          <w:i/>
          <w:iCs/>
          <w:sz w:val="20"/>
          <w:szCs w:val="20"/>
          <w:lang w:eastAsia="ko-KR"/>
        </w:rPr>
        <w:t>An NR NTN UE in RRC_CONNECTED states shall be capable of at least using its acquired GNSS position and satellite ephemeris to perform frequency pre-compensation to counter shift the Doppler experienced on the service link.</w:t>
      </w:r>
    </w:p>
    <w:p w14:paraId="286F34DC" w14:textId="77777777" w:rsidR="0020031B" w:rsidRDefault="00BA3E1C">
      <w:pPr>
        <w:spacing w:beforeLines="50" w:before="120" w:afterLines="50" w:after="120" w:line="240" w:lineRule="auto"/>
        <w:ind w:leftChars="200" w:left="440"/>
        <w:jc w:val="both"/>
        <w:rPr>
          <w:rFonts w:ascii="Times New Roman" w:hAnsi="Times New Roman"/>
          <w:sz w:val="20"/>
          <w:szCs w:val="20"/>
        </w:rPr>
      </w:pPr>
      <w:r>
        <w:rPr>
          <w:rFonts w:ascii="Times New Roman" w:hAnsi="Times New Roman"/>
          <w:sz w:val="20"/>
          <w:szCs w:val="20"/>
        </w:rPr>
        <w:t>In this</w:t>
      </w:r>
      <w:r>
        <w:rPr>
          <w:rFonts w:ascii="Times New Roman" w:hAnsi="Times New Roman"/>
          <w:sz w:val="20"/>
          <w:szCs w:val="20"/>
        </w:rPr>
        <w:t xml:space="preserve"> contribution, </w:t>
      </w:r>
      <w:r>
        <w:rPr>
          <w:rFonts w:ascii="Times New Roman" w:hAnsi="Times New Roman" w:hint="eastAsia"/>
          <w:sz w:val="20"/>
          <w:szCs w:val="20"/>
        </w:rPr>
        <w:t xml:space="preserve">the remaining issues </w:t>
      </w:r>
      <w:r>
        <w:rPr>
          <w:rFonts w:ascii="Times New Roman" w:hAnsi="Times New Roman"/>
          <w:sz w:val="20"/>
          <w:szCs w:val="20"/>
        </w:rPr>
        <w:t xml:space="preserve">for UL synchronization are elaborated with corresponding analysis and simulation results. </w:t>
      </w:r>
    </w:p>
    <w:p w14:paraId="4D4BA4AD" w14:textId="77777777" w:rsidR="0020031B" w:rsidRDefault="00BA3E1C">
      <w:pPr>
        <w:pStyle w:val="1"/>
        <w:keepNext w:val="0"/>
        <w:keepLines w:val="0"/>
        <w:widowControl w:val="0"/>
        <w:numPr>
          <w:ilvl w:val="0"/>
          <w:numId w:val="4"/>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UL timing synchronization</w:t>
      </w:r>
    </w:p>
    <w:p w14:paraId="69F968FF" w14:textId="77777777" w:rsidR="0020031B" w:rsidRDefault="00BA3E1C">
      <w:pPr>
        <w:pStyle w:val="2"/>
        <w:numPr>
          <w:ilvl w:val="1"/>
          <w:numId w:val="6"/>
        </w:numPr>
        <w:rPr>
          <w:rFonts w:ascii="Times New Roman" w:eastAsia="宋体" w:hAnsi="Times New Roman" w:cs="Times New Roman"/>
          <w:sz w:val="24"/>
          <w:szCs w:val="24"/>
          <w:lang w:val="en-US"/>
        </w:rPr>
      </w:pPr>
      <w:bookmarkStart w:id="3" w:name="_Ref27980"/>
      <w:r>
        <w:rPr>
          <w:rFonts w:ascii="Times New Roman" w:eastAsia="宋体" w:hAnsi="Times New Roman" w:cs="Times New Roman"/>
          <w:sz w:val="24"/>
          <w:szCs w:val="24"/>
          <w:lang w:val="en-US"/>
        </w:rPr>
        <w:lastRenderedPageBreak/>
        <w:t>Indication of c</w:t>
      </w:r>
      <w:r>
        <w:rPr>
          <w:rFonts w:ascii="Times New Roman" w:eastAsia="宋体" w:hAnsi="Times New Roman" w:cs="Times New Roman" w:hint="eastAsia"/>
          <w:sz w:val="24"/>
          <w:szCs w:val="24"/>
          <w:lang w:val="en-US"/>
        </w:rPr>
        <w:t xml:space="preserve">ommon </w:t>
      </w:r>
      <w:r>
        <w:rPr>
          <w:rFonts w:ascii="Times New Roman" w:eastAsia="宋体" w:hAnsi="Times New Roman" w:cs="Times New Roman"/>
          <w:sz w:val="24"/>
          <w:szCs w:val="24"/>
          <w:lang w:val="en-US"/>
        </w:rPr>
        <w:t>TA</w:t>
      </w:r>
      <w:bookmarkEnd w:id="3"/>
    </w:p>
    <w:p w14:paraId="203DEAE9" w14:textId="77777777" w:rsidR="0020031B" w:rsidRDefault="00BA3E1C">
      <w:pPr>
        <w:pStyle w:val="ac"/>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According to the above agreement, following equation has been provided to </w:t>
      </w:r>
      <w:r>
        <w:rPr>
          <w:rFonts w:ascii="Times New Roman" w:eastAsia="宋体" w:hAnsi="Times New Roman" w:cs="Times New Roman"/>
          <w:sz w:val="20"/>
          <w:szCs w:val="20"/>
        </w:rPr>
        <w:t>enable the TA calculation for NTN-UE before Msg1/MsgA transmission in idle/inactive mode:</w:t>
      </w:r>
    </w:p>
    <w:p w14:paraId="0269B22F" w14:textId="77777777" w:rsidR="0020031B" w:rsidRDefault="00BA3E1C">
      <w:pPr>
        <w:pStyle w:val="ac"/>
        <w:spacing w:beforeLines="50" w:before="120" w:afterLines="50" w:after="120" w:line="240" w:lineRule="auto"/>
        <w:ind w:leftChars="200" w:left="440" w:firstLineChars="0" w:firstLine="0"/>
        <w:jc w:val="center"/>
        <w:rPr>
          <w:rFonts w:ascii="Times New Roman" w:eastAsia="宋体" w:hAnsi="Times New Roman" w:cs="Times New Roman"/>
          <w:sz w:val="20"/>
          <w:szCs w:val="20"/>
        </w:rPr>
      </w:pPr>
      <m:oMath>
        <m:r>
          <w:rPr>
            <w:rFonts w:ascii="Cambria Math" w:hAnsi="Cambria Math" w:cs="Times New Roman"/>
            <w:sz w:val="20"/>
            <w:szCs w:val="20"/>
          </w:rPr>
          <m:t>TA</m:t>
        </m:r>
        <m:r>
          <w:rPr>
            <w:rFonts w:ascii="Cambria Math" w:hAnsi="Cambria Math" w:cs="Times New Roman"/>
            <w:sz w:val="20"/>
            <w:szCs w:val="20"/>
          </w:rPr>
          <m:t xml:space="preserve">= </m:t>
        </m:r>
        <m:d>
          <m:dPr>
            <m:ctrlPr>
              <w:rPr>
                <w:rFonts w:ascii="Cambria Math" w:hAnsi="Cambria Math" w:cs="Times New Roman"/>
                <w:i/>
                <w:iCs/>
                <w:sz w:val="20"/>
                <w:szCs w:val="20"/>
              </w:rPr>
            </m:ctrlPr>
          </m:dPr>
          <m:e>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TA</m:t>
                </m:r>
              </m:sub>
            </m:sSub>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N</m:t>
                </m:r>
              </m:e>
              <m:sub>
                <m:r>
                  <w:rPr>
                    <w:rFonts w:ascii="Cambria Math" w:hAnsi="Cambria Math" w:cs="Times New Roman"/>
                    <w:sz w:val="20"/>
                    <w:szCs w:val="20"/>
                  </w:rPr>
                  <m:t>TA</m:t>
                </m:r>
                <m:r>
                  <w:rPr>
                    <w:rFonts w:ascii="Cambria Math" w:hAnsi="Cambria Math" w:cs="Times New Roman"/>
                    <w:sz w:val="20"/>
                    <w:szCs w:val="20"/>
                  </w:rPr>
                  <m:t xml:space="preserve">, </m:t>
                </m:r>
                <m:r>
                  <w:rPr>
                    <w:rFonts w:ascii="Cambria Math" w:hAnsi="Cambria Math" w:cs="Times New Roman"/>
                    <w:sz w:val="20"/>
                    <w:szCs w:val="20"/>
                  </w:rPr>
                  <m:t>offset</m:t>
                </m:r>
              </m:sub>
            </m:sSub>
            <m:r>
              <w:rPr>
                <w:rFonts w:ascii="Cambria Math" w:hAnsi="Cambria Math" w:cs="Times New Roman"/>
                <w:sz w:val="20"/>
                <w:szCs w:val="20"/>
              </w:rPr>
              <m:t>[+</m:t>
            </m:r>
            <m:r>
              <w:rPr>
                <w:rFonts w:ascii="Cambria Math" w:hAnsi="Cambria Math" w:cs="Times New Roman"/>
                <w:sz w:val="20"/>
                <w:szCs w:val="20"/>
              </w:rPr>
              <m:t>X</m:t>
            </m:r>
            <m:r>
              <w:rPr>
                <w:rFonts w:ascii="Cambria Math" w:hAnsi="Cambria Math" w:cs="Times New Roman"/>
                <w:sz w:val="20"/>
                <w:szCs w:val="20"/>
              </w:rPr>
              <m:t>]</m:t>
            </m:r>
          </m:e>
        </m:d>
        <m:r>
          <w:rPr>
            <w:rFonts w:ascii="Cambria Math" w:hAnsi="Cambria Math" w:cs="Times New Roman"/>
            <w:sz w:val="20"/>
            <w:szCs w:val="20"/>
          </w:rPr>
          <m:t>×</m:t>
        </m:r>
        <m:sSub>
          <m:sSubPr>
            <m:ctrlPr>
              <w:rPr>
                <w:rFonts w:ascii="Cambria Math" w:hAnsi="Cambria Math" w:cs="Times New Roman"/>
                <w:i/>
                <w:iCs/>
                <w:sz w:val="20"/>
                <w:szCs w:val="20"/>
              </w:rPr>
            </m:ctrlPr>
          </m:sSubPr>
          <m:e>
            <m:r>
              <w:rPr>
                <w:rFonts w:ascii="Cambria Math" w:hAnsi="Cambria Math" w:cs="Times New Roman"/>
                <w:sz w:val="20"/>
                <w:szCs w:val="20"/>
              </w:rPr>
              <m:t>T</m:t>
            </m:r>
          </m:e>
          <m:sub>
            <m:r>
              <w:rPr>
                <w:rFonts w:ascii="Cambria Math" w:hAnsi="Cambria Math" w:cs="Times New Roman"/>
                <w:sz w:val="20"/>
                <w:szCs w:val="20"/>
              </w:rPr>
              <m:t>c</m:t>
            </m:r>
          </m:sub>
        </m:sSub>
        <m:r>
          <w:rPr>
            <w:rFonts w:ascii="Cambria Math" w:hAnsi="Cambria Math" w:cs="Times New Roman"/>
            <w:sz w:val="20"/>
            <w:szCs w:val="20"/>
          </w:rPr>
          <m:t>[+</m:t>
        </m:r>
        <m:r>
          <w:rPr>
            <w:rFonts w:ascii="Cambria Math" w:hAnsi="Cambria Math" w:cs="Times New Roman"/>
            <w:sz w:val="20"/>
            <w:szCs w:val="20"/>
          </w:rPr>
          <m:t>X</m:t>
        </m:r>
        <m:r>
          <w:rPr>
            <w:rFonts w:ascii="Cambria Math" w:hAnsi="Cambria Math" w:cs="Times New Roman"/>
            <w:sz w:val="20"/>
            <w:szCs w:val="20"/>
          </w:rPr>
          <m:t>]</m:t>
        </m:r>
      </m:oMath>
      <w:r>
        <w:rPr>
          <w:rFonts w:ascii="Cambria Math" w:hAnsi="Cambria Math" w:cs="Times New Roman" w:hint="eastAsia"/>
          <w:sz w:val="20"/>
          <w:szCs w:val="20"/>
        </w:rPr>
        <w:t>,</w:t>
      </w:r>
    </w:p>
    <w:p w14:paraId="3B04E952" w14:textId="77777777" w:rsidR="0020031B" w:rsidRDefault="00BA3E1C">
      <w:pPr>
        <w:pStyle w:val="ac"/>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rPr>
        <w:t>Where</w:t>
      </w:r>
      <w:r>
        <w:rPr>
          <w:rFonts w:ascii="Times New Roman" w:eastAsia="宋体" w:hAnsi="Times New Roman" w:cs="Times New Roman" w:hint="eastAsia"/>
          <w:sz w:val="20"/>
          <w:szCs w:val="20"/>
        </w:rPr>
        <w:t xml:space="preserve"> </w:t>
      </w:r>
      <m:oMath>
        <m:r>
          <m:rPr>
            <m:sty m:val="b"/>
          </m:rPr>
          <w:rPr>
            <w:rFonts w:ascii="Cambria Math" w:eastAsia="宋体" w:hAnsi="Cambria Math" w:cs="Calibri"/>
            <w:color w:val="000000"/>
          </w:rPr>
          <m:t>X</m:t>
        </m:r>
      </m:oMath>
      <w:r>
        <w:rPr>
          <w:rFonts w:ascii="Times New Roman" w:eastAsia="宋体" w:hAnsi="Times New Roman" w:cs="Times New Roman" w:hint="eastAsia"/>
          <w:sz w:val="20"/>
          <w:szCs w:val="20"/>
        </w:rPr>
        <w:t xml:space="preserve"> is derived from broadcast common timing offset and can be indicated as either a TA or a timing offset value</w:t>
      </w:r>
      <w:r>
        <w:rPr>
          <w:rFonts w:ascii="Times New Roman" w:eastAsia="宋体" w:hAnsi="Times New Roman" w:cs="Times New Roman" w:hint="eastAsia"/>
          <w:sz w:val="20"/>
          <w:szCs w:val="20"/>
        </w:rPr>
        <w:t>. Only one of X will be kept in the final agreement.</w:t>
      </w:r>
    </w:p>
    <w:p w14:paraId="4677BC6A" w14:textId="4AC0977A" w:rsidR="0020031B" w:rsidRDefault="00BA3E1C">
      <w:pPr>
        <w:pStyle w:val="ac"/>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rPr>
        <w:t>I</w:t>
      </w:r>
      <w:r>
        <w:rPr>
          <w:rFonts w:ascii="Times New Roman" w:eastAsia="宋体" w:hAnsi="Times New Roman" w:cs="Times New Roman" w:hint="eastAsia"/>
          <w:sz w:val="20"/>
          <w:szCs w:val="20"/>
        </w:rPr>
        <w:t>n</w:t>
      </w:r>
      <w:r>
        <w:rPr>
          <w:rFonts w:ascii="Times New Roman" w:eastAsia="宋体" w:hAnsi="Times New Roman" w:cs="Times New Roman"/>
          <w:sz w:val="20"/>
          <w:szCs w:val="20"/>
        </w:rPr>
        <w:t xml:space="preserve"> general</w:t>
      </w:r>
      <w:r>
        <w:rPr>
          <w:rFonts w:ascii="Times New Roman" w:eastAsia="宋体" w:hAnsi="Times New Roman" w:cs="Times New Roman" w:hint="eastAsia"/>
          <w:sz w:val="20"/>
          <w:szCs w:val="20"/>
        </w:rPr>
        <w:t xml:space="preserve">, </w:t>
      </w:r>
      <m:oMath>
        <m:r>
          <m:rPr>
            <m:sty m:val="b"/>
          </m:rPr>
          <w:rPr>
            <w:rFonts w:ascii="Cambria Math" w:eastAsia="宋体" w:hAnsi="Cambria Math" w:cs="Calibri"/>
            <w:color w:val="000000"/>
          </w:rPr>
          <m:t>X</m:t>
        </m:r>
      </m:oMath>
      <w:r>
        <w:rPr>
          <w:rFonts w:ascii="Times New Roman" w:eastAsia="宋体" w:hAnsi="Times New Roman" w:cs="Times New Roman" w:hint="eastAsia"/>
          <w:sz w:val="20"/>
          <w:szCs w:val="20"/>
        </w:rPr>
        <w:t xml:space="preserve"> should be indicated as a TA</w:t>
      </w:r>
      <w:r>
        <w:rPr>
          <w:rFonts w:ascii="Times New Roman" w:eastAsia="宋体" w:hAnsi="Times New Roman" w:cs="Times New Roman"/>
          <w:sz w:val="20"/>
          <w:szCs w:val="20"/>
        </w:rPr>
        <w:t xml:space="preserve"> since the </w:t>
      </w:r>
      <w:r>
        <w:rPr>
          <w:rFonts w:ascii="Times New Roman" w:eastAsia="宋体" w:hAnsi="Times New Roman" w:cs="Times New Roman" w:hint="eastAsia"/>
          <w:sz w:val="20"/>
          <w:szCs w:val="20"/>
        </w:rPr>
        <w:t>common TA and common timing offset in timing relationship issue (i.e., K</w:t>
      </w:r>
      <w:r>
        <w:rPr>
          <w:rFonts w:ascii="Times New Roman" w:eastAsia="宋体" w:hAnsi="Times New Roman" w:cs="Times New Roman" w:hint="eastAsia"/>
          <w:sz w:val="20"/>
          <w:szCs w:val="20"/>
        </w:rPr>
        <w:t>_</w:t>
      </w:r>
      <w:r>
        <w:rPr>
          <w:rFonts w:ascii="Times New Roman" w:eastAsia="宋体" w:hAnsi="Times New Roman" w:cs="Times New Roman" w:hint="eastAsia"/>
          <w:sz w:val="20"/>
          <w:szCs w:val="20"/>
        </w:rPr>
        <w:t>offset) are different</w:t>
      </w:r>
      <w:r>
        <w:rPr>
          <w:rFonts w:ascii="Times New Roman" w:eastAsia="宋体" w:hAnsi="Times New Roman" w:cs="Times New Roman"/>
          <w:sz w:val="20"/>
          <w:szCs w:val="20"/>
        </w:rPr>
        <w:t xml:space="preserve"> from both functionality and signalling perspective</w: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Mo</w:t>
      </w:r>
      <w:r>
        <w:rPr>
          <w:rFonts w:ascii="Times New Roman" w:eastAsia="宋体" w:hAnsi="Times New Roman" w:cs="Times New Roman"/>
          <w:sz w:val="20"/>
          <w:szCs w:val="20"/>
        </w:rPr>
        <w:t xml:space="preserve">re specifically, the </w:t>
      </w:r>
      <w:r>
        <w:rPr>
          <w:rFonts w:ascii="Times New Roman" w:eastAsia="宋体" w:hAnsi="Times New Roman" w:cs="Times New Roman" w:hint="eastAsia"/>
          <w:sz w:val="20"/>
          <w:szCs w:val="20"/>
        </w:rPr>
        <w:t>TA is used to adjust UL transmission timing of UE to ensure the alignment between DL and UL at BS. The indication of common TA is mainly to handle the impacts of feeder link, which cannot be autonomously estimated by UE. While K</w:t>
      </w:r>
      <w:r>
        <w:rPr>
          <w:rFonts w:ascii="Times New Roman" w:eastAsia="宋体" w:hAnsi="Times New Roman" w:cs="Times New Roman" w:hint="eastAsia"/>
          <w:sz w:val="20"/>
          <w:szCs w:val="20"/>
        </w:rPr>
        <w:t>_</w:t>
      </w:r>
      <w:r>
        <w:rPr>
          <w:rFonts w:ascii="Times New Roman" w:eastAsia="宋体" w:hAnsi="Times New Roman" w:cs="Times New Roman" w:hint="eastAsia"/>
          <w:sz w:val="20"/>
          <w:szCs w:val="20"/>
        </w:rPr>
        <w:t>offset is used for scheduling and is calculated by assuming worst case with largest RTT</w:t>
      </w:r>
      <w:r>
        <w:rPr>
          <w:rFonts w:ascii="Times New Roman" w:eastAsia="宋体" w:hAnsi="Times New Roman" w:cs="Times New Roman"/>
          <w:sz w:val="20"/>
          <w:szCs w:val="20"/>
        </w:rPr>
        <w:t xml:space="preserve"> in either cell specific or beam specific way</w:t>
      </w:r>
      <w:r>
        <w:rPr>
          <w:rFonts w:ascii="Times New Roman" w:eastAsia="宋体" w:hAnsi="Times New Roman" w:cs="Times New Roman" w:hint="eastAsia"/>
          <w:sz w:val="20"/>
          <w:szCs w:val="20"/>
        </w:rPr>
        <w:t>, where both service and feeder links of beam edge UE are considered</w:t>
      </w:r>
      <w:r>
        <w:rPr>
          <w:rFonts w:ascii="Times New Roman" w:eastAsia="宋体" w:hAnsi="Times New Roman" w:cs="Times New Roman"/>
          <w:sz w:val="20"/>
          <w:szCs w:val="20"/>
        </w:rPr>
        <w:t xml:space="preserve"> as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_Ref61294096 \h  \* MERGEFORMAT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eastAsia="宋体" w:hAnsi="Times New Roman" w:cs="Times New Roman"/>
          <w:sz w:val="20"/>
          <w:szCs w:val="20"/>
        </w:rPr>
        <w:t>Figure</w:t>
      </w:r>
      <w:r>
        <w:rPr>
          <w:rFonts w:ascii="Times New Roman" w:eastAsia="宋体" w:hAnsi="Times New Roman" w:cs="Times New Roman"/>
          <w:sz w:val="20"/>
          <w:szCs w:val="20"/>
        </w:rPr>
        <w:t xml:space="preserve"> 1</w:t>
      </w:r>
      <w:r>
        <w:rPr>
          <w:rFonts w:ascii="Times New Roman" w:eastAsia="宋体" w:hAnsi="Times New Roman" w:cs="Times New Roman"/>
          <w:sz w:val="20"/>
          <w:szCs w:val="20"/>
        </w:rPr>
        <w:fldChar w:fldCharType="end"/>
      </w:r>
      <w:r>
        <w:rPr>
          <w:rFonts w:ascii="Times New Roman" w:eastAsia="宋体" w:hAnsi="Times New Roman" w:cs="Times New Roman" w:hint="eastAsia"/>
          <w:sz w:val="20"/>
          <w:szCs w:val="20"/>
        </w:rPr>
        <w:t xml:space="preserve">. Hence, once </w:t>
      </w:r>
      <m:oMath>
        <m:r>
          <m:rPr>
            <m:sty m:val="b"/>
          </m:rPr>
          <w:rPr>
            <w:rFonts w:ascii="Cambria Math" w:eastAsia="宋体" w:hAnsi="Cambria Math" w:cs="Calibri"/>
            <w:color w:val="000000"/>
          </w:rPr>
          <m:t>X</m:t>
        </m:r>
      </m:oMath>
      <w:r>
        <w:rPr>
          <w:rFonts w:ascii="Times New Roman" w:eastAsia="宋体" w:hAnsi="Times New Roman" w:cs="Times New Roman" w:hint="eastAsia"/>
          <w:sz w:val="20"/>
          <w:szCs w:val="20"/>
        </w:rPr>
        <w:t xml:space="preserve"> is indicated as K</w:t>
      </w:r>
      <w:r>
        <w:rPr>
          <w:rFonts w:ascii="Times New Roman" w:eastAsia="宋体" w:hAnsi="Times New Roman" w:cs="Times New Roman" w:hint="eastAsia"/>
          <w:sz w:val="20"/>
          <w:szCs w:val="20"/>
        </w:rPr>
        <w:t>_</w:t>
      </w:r>
      <w:r>
        <w:rPr>
          <w:rFonts w:ascii="Times New Roman" w:eastAsia="宋体" w:hAnsi="Times New Roman" w:cs="Times New Roman" w:hint="eastAsia"/>
          <w:sz w:val="20"/>
          <w:szCs w:val="20"/>
        </w:rPr>
        <w:t>offset, misalignment will occur in initial access stage since UE-specific autonomous estimation on service link TA is expected.</w:t>
      </w:r>
    </w:p>
    <w:p w14:paraId="7A840F3D" w14:textId="77777777" w:rsidR="0020031B" w:rsidRDefault="00BA3E1C">
      <w:pPr>
        <w:keepNext/>
        <w:adjustRightInd w:val="0"/>
        <w:snapToGrid w:val="0"/>
        <w:spacing w:beforeLines="50" w:before="120" w:afterLines="50" w:after="120"/>
        <w:jc w:val="center"/>
      </w:pPr>
      <w:r>
        <w:rPr>
          <w:noProof/>
          <w:sz w:val="20"/>
          <w:szCs w:val="20"/>
        </w:rPr>
        <w:drawing>
          <wp:inline distT="0" distB="0" distL="0" distR="0">
            <wp:extent cx="3027680" cy="2051050"/>
            <wp:effectExtent l="0" t="0" r="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030830" cy="2053045"/>
                    </a:xfrm>
                    <a:prstGeom prst="rect">
                      <a:avLst/>
                    </a:prstGeom>
                    <a:noFill/>
                  </pic:spPr>
                </pic:pic>
              </a:graphicData>
            </a:graphic>
          </wp:inline>
        </w:drawing>
      </w:r>
    </w:p>
    <w:p w14:paraId="3749841B" w14:textId="77777777" w:rsidR="0020031B" w:rsidRDefault="00BA3E1C">
      <w:pPr>
        <w:pStyle w:val="a3"/>
        <w:rPr>
          <w:b w:val="0"/>
        </w:rPr>
      </w:pPr>
      <w:bookmarkStart w:id="4" w:name="_Ref61294096"/>
      <w:r>
        <w:rPr>
          <w:rFonts w:eastAsia="黑体"/>
          <w:b w:val="0"/>
        </w:rPr>
        <w:t xml:space="preserve">Figure </w:t>
      </w:r>
      <w:r>
        <w:rPr>
          <w:rFonts w:eastAsia="黑体"/>
          <w:b w:val="0"/>
        </w:rPr>
        <w:fldChar w:fldCharType="begin"/>
      </w:r>
      <w:r>
        <w:rPr>
          <w:rFonts w:eastAsia="黑体"/>
          <w:b w:val="0"/>
        </w:rPr>
        <w:instrText xml:space="preserve"> SEQ Figure \*</w:instrText>
      </w:r>
      <w:r>
        <w:rPr>
          <w:rFonts w:eastAsia="黑体"/>
          <w:b w:val="0"/>
        </w:rPr>
        <w:instrText xml:space="preserve"> ARABIC </w:instrText>
      </w:r>
      <w:r>
        <w:rPr>
          <w:rFonts w:eastAsia="黑体"/>
          <w:b w:val="0"/>
        </w:rPr>
        <w:fldChar w:fldCharType="separate"/>
      </w:r>
      <w:r>
        <w:rPr>
          <w:rFonts w:eastAsia="黑体"/>
          <w:b w:val="0"/>
        </w:rPr>
        <w:t>1</w:t>
      </w:r>
      <w:r>
        <w:rPr>
          <w:rFonts w:eastAsia="黑体"/>
          <w:b w:val="0"/>
        </w:rPr>
        <w:fldChar w:fldCharType="end"/>
      </w:r>
      <w:bookmarkEnd w:id="4"/>
      <w:r>
        <w:rPr>
          <w:rFonts w:eastAsia="黑体"/>
          <w:b w:val="0"/>
        </w:rPr>
        <w:t xml:space="preserve"> Illustration of the determination of K_offset</w:t>
      </w:r>
    </w:p>
    <w:p w14:paraId="1A5DDDD9"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1</w:t>
      </w:r>
      <w:r>
        <w:rPr>
          <w:rFonts w:ascii="Times New Roman" w:eastAsia="宋体" w:hAnsi="Times New Roman" w:hint="eastAsia"/>
          <w:b/>
          <w:i/>
          <w:sz w:val="20"/>
          <w:szCs w:val="20"/>
        </w:rPr>
        <w:t xml:space="preserve">: </w:t>
      </w:r>
      <w:r>
        <w:rPr>
          <w:rFonts w:ascii="Times New Roman" w:eastAsia="宋体" w:hAnsi="Times New Roman" w:hint="eastAsia"/>
          <w:i/>
          <w:sz w:val="20"/>
          <w:szCs w:val="20"/>
        </w:rPr>
        <w:t>The common timing offset value should be indicated as a TA and broadcast in SIB.</w:t>
      </w:r>
    </w:p>
    <w:p w14:paraId="1E147FBD" w14:textId="77777777" w:rsidR="0020031B" w:rsidRDefault="00BA3E1C">
      <w:pPr>
        <w:pStyle w:val="ac"/>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Additionally, w.r.t the granularity of </w:t>
      </w:r>
      <m:oMath>
        <m:r>
          <m:rPr>
            <m:sty m:val="b"/>
          </m:rPr>
          <w:rPr>
            <w:rFonts w:ascii="Cambria Math" w:eastAsia="宋体" w:hAnsi="Cambria Math" w:cs="Calibri"/>
            <w:color w:val="000000"/>
          </w:rPr>
          <m:t>X</m:t>
        </m:r>
      </m:oMath>
      <w:r>
        <w:rPr>
          <w:rFonts w:ascii="Times New Roman" w:eastAsia="宋体" w:hAnsi="Times New Roman" w:cs="Times New Roman"/>
          <w:sz w:val="20"/>
          <w:szCs w:val="20"/>
        </w:rPr>
        <w:t xml:space="preserve"> indication, within the service of one cell, </w:t>
      </w:r>
      <w:r>
        <w:rPr>
          <w:rFonts w:ascii="Times New Roman" w:eastAsia="宋体" w:hAnsi="Times New Roman" w:cs="Times New Roman" w:hint="eastAsia"/>
          <w:sz w:val="20"/>
          <w:szCs w:val="20"/>
        </w:rPr>
        <w:t xml:space="preserve">different </w:t>
      </w:r>
      <w:r>
        <w:rPr>
          <w:rFonts w:ascii="Times New Roman" w:eastAsia="宋体" w:hAnsi="Times New Roman" w:cs="Times New Roman" w:hint="eastAsia"/>
          <w:sz w:val="20"/>
          <w:szCs w:val="20"/>
        </w:rPr>
        <w:t>numerologies may be supported simultaneously. UE with larger SCS could have shorter CP and thus more sensitive to TA variance. Therefore, small granularity, e.g.</w:t>
      </w:r>
      <w:r>
        <w:rPr>
          <w:rFonts w:ascii="Times New Roman" w:eastAsia="宋体" w:hAnsi="Times New Roman" w:cs="Times New Roman"/>
          <w:sz w:val="20"/>
          <w:szCs w:val="20"/>
        </w:rPr>
        <w:t>,</w:t>
      </w:r>
      <w:r>
        <w:rPr>
          <w:rFonts w:ascii="Times New Roman" w:eastAsia="宋体" w:hAnsi="Times New Roman" w:cs="Times New Roman" w:hint="eastAsia"/>
          <w:sz w:val="20"/>
          <w:szCs w:val="20"/>
        </w:rPr>
        <w:t xml:space="preserve"> </w:t>
      </w:r>
      <w:r>
        <w:rPr>
          <w:rFonts w:ascii="Times New Roman" w:eastAsia="宋体" w:hAnsi="Times New Roman" w:hint="eastAsia"/>
          <w:i/>
          <w:position w:val="-12"/>
          <w:sz w:val="20"/>
          <w:szCs w:val="20"/>
        </w:rPr>
        <w:object w:dxaOrig="255" w:dyaOrig="366" w14:anchorId="1D46FE73">
          <v:shape id="_x0000_i1037" type="#_x0000_t75" style="width:12.5pt;height:18.15pt" o:ole="">
            <v:imagedata r:id="rId13" o:title=""/>
          </v:shape>
          <o:OLEObject Type="Embed" ProgID="Equation.KSEE3" ShapeID="_x0000_i1037" DrawAspect="Content" ObjectID="_1672470270" r:id="rId14"/>
        </w:object>
      </w:r>
      <w:r>
        <w:rPr>
          <w:rFonts w:ascii="Times New Roman" w:eastAsia="宋体" w:hAnsi="Times New Roman" w:cs="Times New Roman" w:hint="eastAsia"/>
          <w:sz w:val="20"/>
          <w:szCs w:val="20"/>
        </w:rPr>
        <w:t xml:space="preserve">, is preferred in the expression of </w:t>
      </w:r>
      <m:oMath>
        <m:r>
          <m:rPr>
            <m:sty m:val="b"/>
          </m:rPr>
          <w:rPr>
            <w:rFonts w:ascii="Cambria Math" w:eastAsia="宋体" w:hAnsi="Cambria Math" w:cs="Calibri"/>
            <w:color w:val="000000"/>
          </w:rPr>
          <m:t>X</m:t>
        </m:r>
      </m:oMath>
      <w:r>
        <w:rPr>
          <w:rFonts w:ascii="Times New Roman" w:eastAsia="宋体" w:hAnsi="Times New Roman" w:cs="Times New Roman" w:hint="eastAsia"/>
          <w:sz w:val="20"/>
          <w:szCs w:val="20"/>
        </w:rPr>
        <w:t xml:space="preserve"> to make indicated common TA </w:t>
      </w:r>
      <w:r>
        <w:rPr>
          <w:rFonts w:ascii="Times New Roman" w:eastAsia="宋体" w:hAnsi="Times New Roman" w:cs="Times New Roman" w:hint="eastAsia"/>
          <w:sz w:val="20"/>
          <w:szCs w:val="20"/>
        </w:rPr>
        <w:t xml:space="preserve">compatible to all types of UEs. </w:t>
      </w:r>
      <w:r>
        <w:rPr>
          <w:rFonts w:ascii="Times New Roman" w:eastAsia="宋体" w:hAnsi="Times New Roman" w:cs="Times New Roman"/>
          <w:sz w:val="20"/>
          <w:szCs w:val="20"/>
        </w:rPr>
        <w:t xml:space="preserve">With consideration on the tradeoff between accuracy and signalling overhead, </w:t>
      </w:r>
      <w:r>
        <w:rPr>
          <w:rFonts w:ascii="Times New Roman" w:eastAsia="宋体" w:hAnsi="Times New Roman" w:cs="Times New Roman" w:hint="eastAsia"/>
          <w:sz w:val="20"/>
          <w:szCs w:val="20"/>
        </w:rPr>
        <w:t xml:space="preserve">the required bit number for LEO is evaluated in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_Ref16918 \h </w:instrText>
      </w:r>
      <w:r>
        <w:rPr>
          <w:rFonts w:ascii="Times New Roman" w:eastAsia="宋体" w:hAnsi="Times New Roman" w:cs="Times New Roman"/>
          <w:sz w:val="20"/>
          <w:szCs w:val="20"/>
        </w:rPr>
        <w:instrText xml:space="preserve"> \* MERGEFORMAT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Table 1</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w:t>
      </w:r>
    </w:p>
    <w:p w14:paraId="4E40D575" w14:textId="77777777" w:rsidR="0020031B" w:rsidRDefault="00BA3E1C">
      <w:pPr>
        <w:pStyle w:val="a3"/>
        <w:spacing w:beforeLines="50" w:before="120" w:afterLines="50"/>
        <w:ind w:leftChars="200" w:left="440"/>
        <w:rPr>
          <w:b w:val="0"/>
          <w:lang w:val="en-US"/>
        </w:rPr>
      </w:pPr>
      <w:bookmarkStart w:id="5" w:name="_Ref16918"/>
      <w:r>
        <w:rPr>
          <w:b w:val="0"/>
        </w:rPr>
        <w:t xml:space="preserve">Table </w:t>
      </w:r>
      <w:r>
        <w:rPr>
          <w:b w:val="0"/>
        </w:rPr>
        <w:fldChar w:fldCharType="begin"/>
      </w:r>
      <w:r>
        <w:rPr>
          <w:b w:val="0"/>
        </w:rPr>
        <w:instrText xml:space="preserve"> SEQ Table \* ARABIC </w:instrText>
      </w:r>
      <w:r>
        <w:rPr>
          <w:b w:val="0"/>
        </w:rPr>
        <w:fldChar w:fldCharType="separate"/>
      </w:r>
      <w:r>
        <w:rPr>
          <w:b w:val="0"/>
        </w:rPr>
        <w:t>1</w:t>
      </w:r>
      <w:r>
        <w:rPr>
          <w:b w:val="0"/>
        </w:rPr>
        <w:fldChar w:fldCharType="end"/>
      </w:r>
      <w:bookmarkEnd w:id="5"/>
      <w:r>
        <w:rPr>
          <w:rFonts w:hint="eastAsia"/>
          <w:b w:val="0"/>
          <w:lang w:val="en-US"/>
        </w:rPr>
        <w:t xml:space="preserve"> Required bit number for common TA expression</w:t>
      </w:r>
    </w:p>
    <w:tbl>
      <w:tblPr>
        <w:tblStyle w:val="aa"/>
        <w:tblW w:w="7451" w:type="dxa"/>
        <w:jc w:val="center"/>
        <w:tblLayout w:type="fixed"/>
        <w:tblLook w:val="04A0" w:firstRow="1" w:lastRow="0" w:firstColumn="1" w:lastColumn="0" w:noHBand="0" w:noVBand="1"/>
      </w:tblPr>
      <w:tblGrid>
        <w:gridCol w:w="2783"/>
        <w:gridCol w:w="2246"/>
        <w:gridCol w:w="2422"/>
      </w:tblGrid>
      <w:tr w:rsidR="0020031B" w14:paraId="434889EC" w14:textId="77777777">
        <w:trPr>
          <w:trHeight w:val="222"/>
          <w:jc w:val="center"/>
        </w:trPr>
        <w:tc>
          <w:tcPr>
            <w:tcW w:w="2783" w:type="dxa"/>
          </w:tcPr>
          <w:p w14:paraId="2849CE49" w14:textId="77777777" w:rsidR="0020031B" w:rsidRDefault="0020031B">
            <w:pPr>
              <w:rPr>
                <w:rFonts w:ascii="Times New Roman" w:eastAsia="宋体" w:hAnsi="Times New Roman" w:cs="Times New Roman"/>
                <w:sz w:val="20"/>
                <w:szCs w:val="20"/>
              </w:rPr>
            </w:pPr>
          </w:p>
        </w:tc>
        <w:tc>
          <w:tcPr>
            <w:tcW w:w="2246" w:type="dxa"/>
          </w:tcPr>
          <w:p w14:paraId="327B85C3" w14:textId="77777777" w:rsidR="0020031B" w:rsidRDefault="00BA3E1C">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LEO-600</w:t>
            </w:r>
          </w:p>
        </w:tc>
        <w:tc>
          <w:tcPr>
            <w:tcW w:w="2422" w:type="dxa"/>
          </w:tcPr>
          <w:p w14:paraId="47C74901" w14:textId="77777777" w:rsidR="0020031B" w:rsidRDefault="00BA3E1C">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LEO-1200</w:t>
            </w:r>
          </w:p>
        </w:tc>
      </w:tr>
      <w:tr w:rsidR="0020031B" w14:paraId="7E35FA65" w14:textId="77777777">
        <w:trPr>
          <w:trHeight w:val="228"/>
          <w:jc w:val="center"/>
        </w:trPr>
        <w:tc>
          <w:tcPr>
            <w:tcW w:w="2783" w:type="dxa"/>
          </w:tcPr>
          <w:p w14:paraId="50E0056A" w14:textId="77777777" w:rsidR="0020031B" w:rsidRDefault="00BA3E1C">
            <w:pPr>
              <w:rPr>
                <w:rFonts w:ascii="Times New Roman" w:eastAsia="宋体" w:hAnsi="Times New Roman" w:cs="Times New Roman"/>
                <w:sz w:val="20"/>
                <w:szCs w:val="20"/>
              </w:rPr>
            </w:pPr>
            <w:r>
              <w:rPr>
                <w:rFonts w:ascii="Times New Roman" w:eastAsia="宋体" w:hAnsi="Times New Roman" w:cs="Times New Roman" w:hint="eastAsia"/>
                <w:sz w:val="20"/>
                <w:szCs w:val="20"/>
              </w:rPr>
              <w:t>Upper bound of RTT</w:t>
            </w:r>
          </w:p>
        </w:tc>
        <w:tc>
          <w:tcPr>
            <w:tcW w:w="2246" w:type="dxa"/>
          </w:tcPr>
          <w:p w14:paraId="3D3C95D0" w14:textId="77777777" w:rsidR="0020031B" w:rsidRDefault="00BA3E1C">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18.87 ms</w:t>
            </w:r>
          </w:p>
        </w:tc>
        <w:tc>
          <w:tcPr>
            <w:tcW w:w="2422" w:type="dxa"/>
          </w:tcPr>
          <w:p w14:paraId="584C3264" w14:textId="77777777" w:rsidR="0020031B" w:rsidRDefault="00BA3E1C">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27.27 ms</w:t>
            </w:r>
          </w:p>
        </w:tc>
      </w:tr>
      <w:tr w:rsidR="0020031B" w14:paraId="5915D217" w14:textId="77777777">
        <w:trPr>
          <w:trHeight w:val="49"/>
          <w:jc w:val="center"/>
        </w:trPr>
        <w:tc>
          <w:tcPr>
            <w:tcW w:w="2783" w:type="dxa"/>
          </w:tcPr>
          <w:p w14:paraId="77D3ED3F" w14:textId="77777777" w:rsidR="0020031B" w:rsidRDefault="00BA3E1C">
            <w:pP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Required bit number (granularity is </w:t>
            </w:r>
            <w:r>
              <w:rPr>
                <w:rFonts w:ascii="Times New Roman" w:eastAsia="宋体" w:hAnsi="Times New Roman" w:hint="eastAsia"/>
                <w:i/>
                <w:position w:val="-12"/>
                <w:sz w:val="20"/>
                <w:szCs w:val="20"/>
              </w:rPr>
              <w:object w:dxaOrig="244" w:dyaOrig="343" w14:anchorId="3E425833">
                <v:shape id="_x0000_i1038" type="#_x0000_t75" style="width:11.9pt;height:16.9pt" o:ole="">
                  <v:imagedata r:id="rId13" o:title=""/>
                </v:shape>
                <o:OLEObject Type="Embed" ProgID="Equation.KSEE3" ShapeID="_x0000_i1038" DrawAspect="Content" ObjectID="_1672470271" r:id="rId15"/>
              </w:object>
            </w:r>
            <w:r>
              <w:rPr>
                <w:rFonts w:ascii="Times New Roman" w:eastAsia="宋体" w:hAnsi="Times New Roman" w:cs="Times New Roman" w:hint="eastAsia"/>
                <w:sz w:val="20"/>
                <w:szCs w:val="20"/>
              </w:rPr>
              <w:t>)</w:t>
            </w:r>
          </w:p>
        </w:tc>
        <w:tc>
          <w:tcPr>
            <w:tcW w:w="2246" w:type="dxa"/>
          </w:tcPr>
          <w:p w14:paraId="7FE875FC" w14:textId="77777777" w:rsidR="0020031B" w:rsidRDefault="00BA3E1C">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26</w:t>
            </w:r>
          </w:p>
        </w:tc>
        <w:tc>
          <w:tcPr>
            <w:tcW w:w="2422" w:type="dxa"/>
          </w:tcPr>
          <w:p w14:paraId="14032E59" w14:textId="77777777" w:rsidR="0020031B" w:rsidRDefault="00BA3E1C">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26</w:t>
            </w:r>
          </w:p>
        </w:tc>
      </w:tr>
      <w:tr w:rsidR="0020031B" w14:paraId="25A4D948" w14:textId="77777777">
        <w:trPr>
          <w:trHeight w:val="582"/>
          <w:jc w:val="center"/>
        </w:trPr>
        <w:tc>
          <w:tcPr>
            <w:tcW w:w="2783" w:type="dxa"/>
          </w:tcPr>
          <w:p w14:paraId="35299A51" w14:textId="77777777" w:rsidR="0020031B" w:rsidRDefault="00BA3E1C">
            <w:pPr>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Required bit number (granularity is </w:t>
            </w:r>
            <w:r>
              <w:rPr>
                <w:rFonts w:ascii="Times New Roman" w:eastAsia="宋体" w:hAnsi="Times New Roman" w:hint="eastAsia"/>
                <w:i/>
                <w:position w:val="-12"/>
                <w:sz w:val="20"/>
                <w:szCs w:val="20"/>
              </w:rPr>
              <w:object w:dxaOrig="1207" w:dyaOrig="354" w14:anchorId="751D3026">
                <v:shape id="_x0000_i1039" type="#_x0000_t75" style="width:60.1pt;height:17.55pt" o:ole="">
                  <v:imagedata r:id="rId16" o:title=""/>
                </v:shape>
                <o:OLEObject Type="Embed" ProgID="Equation.KSEE3" ShapeID="_x0000_i1039" DrawAspect="Content" ObjectID="_1672470272" r:id="rId17"/>
              </w:object>
            </w:r>
            <w:r>
              <w:rPr>
                <w:rFonts w:ascii="Times New Roman" w:eastAsia="宋体" w:hAnsi="Times New Roman" w:cs="Times New Roman" w:hint="eastAsia"/>
                <w:sz w:val="20"/>
                <w:szCs w:val="20"/>
              </w:rPr>
              <w:t>)</w:t>
            </w:r>
          </w:p>
        </w:tc>
        <w:tc>
          <w:tcPr>
            <w:tcW w:w="2246" w:type="dxa"/>
            <w:vAlign w:val="center"/>
          </w:tcPr>
          <w:p w14:paraId="058210CA" w14:textId="77777777" w:rsidR="0020031B" w:rsidRDefault="00BA3E1C">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19</w:t>
            </w:r>
          </w:p>
        </w:tc>
        <w:tc>
          <w:tcPr>
            <w:tcW w:w="2422" w:type="dxa"/>
            <w:vAlign w:val="center"/>
          </w:tcPr>
          <w:p w14:paraId="69CAD6F1" w14:textId="77777777" w:rsidR="0020031B" w:rsidRDefault="00BA3E1C">
            <w:pPr>
              <w:jc w:val="center"/>
              <w:rPr>
                <w:rFonts w:ascii="Times New Roman" w:eastAsia="宋体" w:hAnsi="Times New Roman" w:cs="Times New Roman"/>
                <w:sz w:val="20"/>
                <w:szCs w:val="20"/>
              </w:rPr>
            </w:pPr>
            <w:r>
              <w:rPr>
                <w:rFonts w:ascii="Times New Roman" w:eastAsia="宋体" w:hAnsi="Times New Roman" w:cs="Times New Roman" w:hint="eastAsia"/>
                <w:sz w:val="20"/>
                <w:szCs w:val="20"/>
              </w:rPr>
              <w:t>19</w:t>
            </w:r>
          </w:p>
        </w:tc>
      </w:tr>
    </w:tbl>
    <w:p w14:paraId="4030710E" w14:textId="77777777" w:rsidR="0020031B" w:rsidRDefault="00BA3E1C">
      <w:pPr>
        <w:pStyle w:val="ac"/>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rPr>
        <w:lastRenderedPageBreak/>
        <w:t xml:space="preserve">According to existing design, during the initial access stage, </w:t>
      </w:r>
      <w:r>
        <w:rPr>
          <w:rFonts w:ascii="Times New Roman" w:eastAsia="宋体" w:hAnsi="Times New Roman" w:cs="Times New Roman" w:hint="eastAsia"/>
          <w:sz w:val="20"/>
          <w:szCs w:val="20"/>
        </w:rPr>
        <w:t xml:space="preserve">the maximum supported SCS is </w:t>
      </w:r>
      <w:r>
        <w:rPr>
          <w:rFonts w:ascii="Times New Roman" w:eastAsia="宋体" w:hAnsi="Times New Roman" w:hint="eastAsia"/>
          <w:i/>
          <w:position w:val="-6"/>
          <w:sz w:val="20"/>
          <w:szCs w:val="20"/>
        </w:rPr>
        <w:object w:dxaOrig="1108" w:dyaOrig="299" w14:anchorId="651188FF">
          <v:shape id="_x0000_i1040" type="#_x0000_t75" style="width:55.1pt;height:15.05pt" o:ole="">
            <v:imagedata r:id="rId18" o:title=""/>
          </v:shape>
          <o:OLEObject Type="Embed" ProgID="Equation.KSEE3" ShapeID="_x0000_i1040" DrawAspect="Content" ObjectID="_1672470273" r:id="rId19"/>
        </w:object>
      </w:r>
      <w:r>
        <w:rPr>
          <w:rFonts w:ascii="Times New Roman" w:eastAsia="宋体" w:hAnsi="Times New Roman" w:hint="eastAsia"/>
          <w:i/>
          <w:sz w:val="20"/>
          <w:szCs w:val="20"/>
        </w:rPr>
        <w:t xml:space="preserve"> </w:t>
      </w:r>
      <w:r>
        <w:rPr>
          <w:rFonts w:ascii="Times New Roman" w:eastAsia="宋体" w:hAnsi="Times New Roman" w:cs="Times New Roman" w:hint="eastAsia"/>
          <w:sz w:val="20"/>
          <w:szCs w:val="20"/>
        </w:rPr>
        <w:t>kHz</w:t>
      </w:r>
      <w:r>
        <w:rPr>
          <w:rFonts w:ascii="Times New Roman" w:eastAsia="宋体" w:hAnsi="Times New Roman" w:cs="Times New Roman"/>
          <w:sz w:val="20"/>
          <w:szCs w:val="20"/>
        </w:rPr>
        <w:t>, which lead</w:t>
      </w:r>
      <w:r>
        <w:rPr>
          <w:rFonts w:ascii="Times New Roman" w:eastAsia="宋体" w:hAnsi="Times New Roman" w:cs="Times New Roman" w:hint="eastAsia"/>
          <w:sz w:val="20"/>
          <w:szCs w:val="20"/>
        </w:rPr>
        <w:t>s</w:t>
      </w:r>
      <w:r>
        <w:rPr>
          <w:rFonts w:ascii="Times New Roman" w:eastAsia="宋体" w:hAnsi="Times New Roman" w:cs="Times New Roman"/>
          <w:sz w:val="20"/>
          <w:szCs w:val="20"/>
        </w:rPr>
        <w:t xml:space="preserve"> to the</w:t>
      </w:r>
      <w:r>
        <w:rPr>
          <w:rFonts w:ascii="Times New Roman" w:eastAsia="宋体" w:hAnsi="Times New Roman" w:cs="Times New Roman" w:hint="eastAsia"/>
          <w:sz w:val="20"/>
          <w:szCs w:val="20"/>
        </w:rPr>
        <w:t xml:space="preserve"> minimum granularity of TA command </w:t>
      </w:r>
      <w:r>
        <w:rPr>
          <w:rFonts w:ascii="Times New Roman" w:eastAsia="宋体" w:hAnsi="Times New Roman" w:cs="Times New Roman"/>
          <w:sz w:val="20"/>
          <w:szCs w:val="20"/>
        </w:rPr>
        <w:t>as</w:t>
      </w:r>
      <w:r>
        <w:rPr>
          <w:rFonts w:ascii="Times New Roman" w:eastAsia="宋体" w:hAnsi="Times New Roman" w:cs="Times New Roman" w:hint="eastAsia"/>
          <w:sz w:val="20"/>
          <w:szCs w:val="20"/>
        </w:rPr>
        <w:t xml:space="preserve"> </w:t>
      </w:r>
      <w:r>
        <w:rPr>
          <w:rFonts w:ascii="Times New Roman" w:eastAsia="宋体" w:hAnsi="Times New Roman" w:hint="eastAsia"/>
          <w:i/>
          <w:position w:val="-12"/>
          <w:sz w:val="20"/>
          <w:szCs w:val="20"/>
        </w:rPr>
        <w:object w:dxaOrig="1252" w:dyaOrig="366" w14:anchorId="260FC1FC">
          <v:shape id="_x0000_i1041" type="#_x0000_t75" style="width:62.6pt;height:18.15pt" o:ole="">
            <v:imagedata r:id="rId16" o:title=""/>
          </v:shape>
          <o:OLEObject Type="Embed" ProgID="Equation.KSEE3" ShapeID="_x0000_i1041" DrawAspect="Content" ObjectID="_1672470274" r:id="rId20"/>
        </w:objec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Then</w: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 xml:space="preserve">by taking the </w:t>
      </w:r>
      <m:oMath>
        <m:r>
          <m:rPr>
            <m:sty m:val="b"/>
          </m:rPr>
          <w:rPr>
            <w:rFonts w:ascii="Cambria Math" w:eastAsia="宋体" w:hAnsi="Cambria Math" w:cs="Calibri"/>
            <w:color w:val="000000"/>
          </w:rPr>
          <m:t>X</m:t>
        </m:r>
      </m:oMath>
      <w:r>
        <w:rPr>
          <w:rFonts w:ascii="Times New Roman" w:eastAsia="宋体" w:hAnsi="Times New Roman" w:cs="Times New Roman" w:hint="eastAsia"/>
          <w:sz w:val="20"/>
          <w:szCs w:val="20"/>
        </w:rPr>
        <w:t xml:space="preserve"> with granularity </w:t>
      </w:r>
      <w:r>
        <w:rPr>
          <w:rFonts w:ascii="Times New Roman" w:eastAsia="宋体" w:hAnsi="Times New Roman" w:cs="Times New Roman"/>
          <w:sz w:val="20"/>
          <w:szCs w:val="20"/>
        </w:rPr>
        <w:t>as</w:t>
      </w:r>
      <w:r>
        <w:rPr>
          <w:rFonts w:ascii="Times New Roman" w:eastAsia="宋体" w:hAnsi="Times New Roman" w:hint="eastAsia"/>
          <w:i/>
          <w:position w:val="-12"/>
          <w:sz w:val="20"/>
          <w:szCs w:val="20"/>
        </w:rPr>
        <w:object w:dxaOrig="1230" w:dyaOrig="354" w14:anchorId="0622F319">
          <v:shape id="_x0000_i1042" type="#_x0000_t75" style="width:61.35pt;height:17.55pt" o:ole="">
            <v:imagedata r:id="rId16" o:title=""/>
          </v:shape>
          <o:OLEObject Type="Embed" ProgID="Equation.KSEE3" ShapeID="_x0000_i1042" DrawAspect="Content" ObjectID="_1672470275" r:id="rId21"/>
        </w:object>
      </w:r>
      <w:r>
        <w:rPr>
          <w:rFonts w:ascii="Times New Roman" w:eastAsia="宋体" w:hAnsi="Times New Roman" w:cs="Times New Roman" w:hint="eastAsia"/>
          <w:sz w:val="20"/>
          <w:szCs w:val="20"/>
        </w:rPr>
        <w:t xml:space="preserve">, the indicated common TA is compatible to all possible numerologies. </w:t>
      </w:r>
      <w:r>
        <w:rPr>
          <w:rFonts w:ascii="Times New Roman" w:eastAsia="宋体" w:hAnsi="Times New Roman" w:cs="Times New Roman"/>
          <w:sz w:val="20"/>
          <w:szCs w:val="20"/>
        </w:rPr>
        <w:t xml:space="preserve">Meanwhile, w.r.t the UL transmission after initial </w:t>
      </w:r>
      <w:r>
        <w:rPr>
          <w:rFonts w:ascii="Times New Roman" w:eastAsia="宋体" w:hAnsi="Times New Roman" w:cs="Times New Roman"/>
          <w:sz w:val="20"/>
          <w:szCs w:val="20"/>
        </w:rPr>
        <w:t>access, TA adjustment</w:t>
      </w:r>
      <w:r>
        <w:rPr>
          <w:rFonts w:ascii="Times New Roman" w:eastAsia="宋体" w:hAnsi="Times New Roman" w:cs="Times New Roman" w:hint="eastAsia"/>
          <w:sz w:val="20"/>
          <w:szCs w:val="20"/>
        </w:rPr>
        <w:t>/</w:t>
      </w:r>
      <w:r>
        <w:rPr>
          <w:rFonts w:ascii="Times New Roman" w:eastAsia="宋体" w:hAnsi="Times New Roman" w:cs="Times New Roman"/>
          <w:sz w:val="20"/>
          <w:szCs w:val="20"/>
        </w:rPr>
        <w:t>correction with finer granularity</w:t>
      </w:r>
      <w:r>
        <w:rPr>
          <w:rFonts w:ascii="Times New Roman" w:eastAsia="宋体" w:hAnsi="Times New Roman" w:cs="Times New Roman" w:hint="eastAsia"/>
          <w:sz w:val="20"/>
          <w:szCs w:val="20"/>
        </w:rPr>
        <w:t xml:space="preserve"> </w:t>
      </w:r>
      <w:r>
        <w:rPr>
          <w:rFonts w:ascii="Times New Roman" w:eastAsia="宋体" w:hAnsi="Times New Roman" w:cs="Times New Roman"/>
          <w:sz w:val="20"/>
          <w:szCs w:val="20"/>
        </w:rPr>
        <w:t>can also be handled by the closed-open MAC CE signaling from BS.</w:t>
      </w:r>
    </w:p>
    <w:p w14:paraId="4F08CBBA"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2: </w:t>
      </w:r>
      <w:r>
        <w:rPr>
          <w:rFonts w:ascii="Times New Roman" w:eastAsia="宋体" w:hAnsi="Times New Roman" w:hint="eastAsia"/>
          <w:i/>
          <w:sz w:val="20"/>
          <w:szCs w:val="20"/>
        </w:rPr>
        <w:t xml:space="preserve">The unit of indicated common TA can be chosen </w:t>
      </w:r>
      <w:r>
        <w:rPr>
          <w:rFonts w:ascii="Times New Roman" w:eastAsia="宋体" w:hAnsi="Times New Roman"/>
          <w:i/>
          <w:sz w:val="20"/>
          <w:szCs w:val="20"/>
        </w:rPr>
        <w:t>as</w:t>
      </w:r>
      <w:r>
        <w:rPr>
          <w:rFonts w:ascii="Times New Roman" w:eastAsia="宋体" w:hAnsi="Times New Roman" w:hint="eastAsia"/>
          <w:i/>
          <w:sz w:val="20"/>
          <w:szCs w:val="20"/>
        </w:rPr>
        <w:t xml:space="preserve"> </w:t>
      </w:r>
      <w:r>
        <w:rPr>
          <w:rFonts w:ascii="Times New Roman" w:eastAsia="宋体" w:hAnsi="Times New Roman" w:hint="eastAsia"/>
          <w:i/>
          <w:position w:val="-12"/>
          <w:sz w:val="20"/>
          <w:szCs w:val="20"/>
        </w:rPr>
        <w:object w:dxaOrig="1196" w:dyaOrig="354" w14:anchorId="3B1CACD8">
          <v:shape id="_x0000_i1043" type="#_x0000_t75" style="width:60.1pt;height:17.55pt" o:ole="">
            <v:imagedata r:id="rId16" o:title=""/>
          </v:shape>
          <o:OLEObject Type="Embed" ProgID="Equation.KSEE3" ShapeID="_x0000_i1043" DrawAspect="Content" ObjectID="_1672470276" r:id="rId22"/>
        </w:object>
      </w:r>
      <w:r>
        <w:rPr>
          <w:rFonts w:ascii="Times New Roman" w:eastAsia="宋体" w:hAnsi="Times New Roman"/>
          <w:i/>
          <w:sz w:val="20"/>
          <w:szCs w:val="20"/>
        </w:rPr>
        <w:t>.</w:t>
      </w:r>
    </w:p>
    <w:p w14:paraId="16C2C9FD" w14:textId="77777777" w:rsidR="0020031B" w:rsidRDefault="00BA3E1C">
      <w:pPr>
        <w:pStyle w:val="2"/>
        <w:numPr>
          <w:ilvl w:val="1"/>
          <w:numId w:val="6"/>
        </w:numPr>
        <w:rPr>
          <w:rFonts w:ascii="Times New Roman" w:eastAsia="宋体" w:hAnsi="Times New Roman" w:cs="Times New Roman"/>
          <w:sz w:val="20"/>
          <w:szCs w:val="20"/>
        </w:rPr>
      </w:pPr>
      <w:r>
        <w:rPr>
          <w:rFonts w:ascii="Times New Roman" w:eastAsia="宋体" w:hAnsi="Times New Roman" w:cs="Times New Roman"/>
          <w:sz w:val="24"/>
          <w:szCs w:val="24"/>
          <w:lang w:val="en-US"/>
        </w:rPr>
        <w:t>Indication of c</w:t>
      </w:r>
      <w:r>
        <w:rPr>
          <w:rFonts w:ascii="Times New Roman" w:eastAsia="宋体" w:hAnsi="Times New Roman" w:cs="Times New Roman" w:hint="eastAsia"/>
          <w:sz w:val="24"/>
          <w:szCs w:val="24"/>
          <w:lang w:val="en-US"/>
        </w:rPr>
        <w:t xml:space="preserve">ommon </w:t>
      </w:r>
      <w:r>
        <w:rPr>
          <w:rFonts w:ascii="Times New Roman" w:eastAsia="宋体" w:hAnsi="Times New Roman" w:cs="Times New Roman"/>
          <w:sz w:val="24"/>
          <w:szCs w:val="24"/>
          <w:lang w:val="en-US"/>
        </w:rPr>
        <w:t>TA</w:t>
      </w:r>
      <w:r>
        <w:rPr>
          <w:rFonts w:ascii="Times New Roman" w:eastAsia="宋体" w:hAnsi="Times New Roman" w:cs="Times New Roman" w:hint="eastAsia"/>
          <w:sz w:val="24"/>
          <w:szCs w:val="24"/>
          <w:lang w:val="en-US"/>
        </w:rPr>
        <w:t xml:space="preserve"> drift rate</w:t>
      </w:r>
    </w:p>
    <w:p w14:paraId="49CBB8F0" w14:textId="77777777" w:rsidR="0020031B" w:rsidRDefault="00BA3E1C">
      <w:pPr>
        <w:pStyle w:val="ac"/>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lang w:val="en-GB"/>
        </w:rPr>
        <w:t xml:space="preserve">In the LEO cases, the variation of propagation timing for feeder link will lead to time-variant TA adjustment value. To reduce the network complexity, including additional impact on the RF of existing BS (which may be reused to </w:t>
      </w:r>
      <w:r>
        <w:rPr>
          <w:rFonts w:ascii="Times New Roman" w:eastAsia="宋体" w:hAnsi="Times New Roman" w:cs="Times New Roman" w:hint="eastAsia"/>
          <w:sz w:val="20"/>
          <w:szCs w:val="20"/>
        </w:rPr>
        <w:t>serve</w:t>
      </w:r>
      <w:r>
        <w:rPr>
          <w:rFonts w:ascii="Times New Roman" w:eastAsia="宋体" w:hAnsi="Times New Roman" w:cs="Times New Roman"/>
          <w:sz w:val="20"/>
          <w:szCs w:val="20"/>
          <w:lang w:val="en-GB"/>
        </w:rPr>
        <w:t xml:space="preserve"> the satellite with min</w:t>
      </w:r>
      <w:r>
        <w:rPr>
          <w:rFonts w:ascii="Times New Roman" w:eastAsia="宋体" w:hAnsi="Times New Roman" w:cs="Times New Roman"/>
          <w:sz w:val="20"/>
          <w:szCs w:val="20"/>
          <w:lang w:val="en-GB"/>
        </w:rPr>
        <w:t>imized updates), it’s preferred to indicate corresponding drift rate to UE to enable the autonomous adjustment.</w:t>
      </w:r>
    </w:p>
    <w:p w14:paraId="2782BAB6"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t xml:space="preserve">Proposal 3: </w:t>
      </w:r>
      <w:r>
        <w:rPr>
          <w:rFonts w:ascii="Times New Roman" w:eastAsia="宋体" w:hAnsi="Times New Roman"/>
          <w:i/>
          <w:sz w:val="20"/>
          <w:szCs w:val="20"/>
        </w:rPr>
        <w:t xml:space="preserve">Indication of common timing drift rate should be supported to assist TA </w:t>
      </w:r>
      <w:r>
        <w:rPr>
          <w:rFonts w:ascii="Times New Roman" w:eastAsia="宋体" w:hAnsi="Times New Roman" w:hint="eastAsia"/>
          <w:i/>
          <w:sz w:val="20"/>
          <w:szCs w:val="20"/>
        </w:rPr>
        <w:t>adjustment.</w:t>
      </w:r>
    </w:p>
    <w:p w14:paraId="5D41A4B1" w14:textId="77777777" w:rsidR="0020031B" w:rsidRDefault="00BA3E1C">
      <w:pPr>
        <w:pStyle w:val="2"/>
        <w:numPr>
          <w:ilvl w:val="1"/>
          <w:numId w:val="6"/>
        </w:numPr>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TA margin</w:t>
      </w:r>
      <w:r>
        <w:rPr>
          <w:rFonts w:ascii="Times New Roman" w:eastAsia="宋体" w:hAnsi="Times New Roman" w:cs="Times New Roman"/>
          <w:sz w:val="24"/>
          <w:szCs w:val="24"/>
          <w:lang w:val="en-US"/>
        </w:rPr>
        <w:t xml:space="preserve"> </w:t>
      </w:r>
    </w:p>
    <w:p w14:paraId="3A580C91" w14:textId="77777777" w:rsidR="0020031B" w:rsidRDefault="00BA3E1C">
      <w:pPr>
        <w:pStyle w:val="ac"/>
        <w:numPr>
          <w:ilvl w:val="3"/>
          <w:numId w:val="0"/>
        </w:numPr>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The necessity and indication method of TA margin were discussed in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_Ref3130 \n \h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[3]</w:t>
      </w:r>
      <w:r>
        <w:rPr>
          <w:rFonts w:ascii="Times New Roman" w:eastAsia="宋体" w:hAnsi="Times New Roman" w:cs="Times New Roman" w:hint="eastAsia"/>
          <w:sz w:val="20"/>
          <w:szCs w:val="20"/>
        </w:rPr>
        <w:fldChar w:fldCharType="end"/>
      </w:r>
      <w:r>
        <w:rPr>
          <w:rFonts w:ascii="Times New Roman" w:eastAsia="宋体" w:hAnsi="Times New Roman" w:cs="Times New Roman"/>
          <w:sz w:val="20"/>
          <w:szCs w:val="20"/>
        </w:rPr>
        <w:t xml:space="preserve"> but without consensus. In general, following two solutions are </w:t>
      </w:r>
      <w:r>
        <w:rPr>
          <w:rFonts w:ascii="Times New Roman" w:eastAsia="宋体" w:hAnsi="Times New Roman" w:cs="Times New Roman" w:hint="eastAsia"/>
          <w:sz w:val="20"/>
          <w:szCs w:val="20"/>
        </w:rPr>
        <w:t>recommended for further analysis:</w:t>
      </w:r>
    </w:p>
    <w:p w14:paraId="5EE6F097" w14:textId="77777777" w:rsidR="0020031B" w:rsidRDefault="00BA3E1C">
      <w:pPr>
        <w:pStyle w:val="ac"/>
        <w:numPr>
          <w:ilvl w:val="0"/>
          <w:numId w:val="7"/>
        </w:numPr>
        <w:ind w:firstLineChars="0"/>
        <w:rPr>
          <w:rFonts w:ascii="Times New Roman" w:eastAsia="宋体" w:hAnsi="Times New Roman" w:cs="Times New Roman"/>
          <w:sz w:val="20"/>
          <w:szCs w:val="20"/>
        </w:rPr>
      </w:pPr>
      <w:r>
        <w:rPr>
          <w:rFonts w:ascii="Times New Roman" w:eastAsia="宋体" w:hAnsi="Times New Roman" w:cs="Times New Roman" w:hint="eastAsia"/>
          <w:sz w:val="20"/>
          <w:szCs w:val="20"/>
        </w:rPr>
        <w:t>Optio</w:t>
      </w:r>
      <w:r>
        <w:rPr>
          <w:rFonts w:ascii="Times New Roman" w:eastAsia="宋体" w:hAnsi="Times New Roman" w:cs="Times New Roman" w:hint="eastAsia"/>
          <w:sz w:val="20"/>
          <w:szCs w:val="20"/>
        </w:rPr>
        <w:t>n-1: TA margin is indicated in SIB</w:t>
      </w:r>
    </w:p>
    <w:p w14:paraId="5CA8A97F" w14:textId="77777777" w:rsidR="0020031B" w:rsidRDefault="00BA3E1C">
      <w:pPr>
        <w:pStyle w:val="ac"/>
        <w:numPr>
          <w:ilvl w:val="0"/>
          <w:numId w:val="7"/>
        </w:numPr>
        <w:ind w:firstLineChars="0"/>
        <w:rPr>
          <w:rFonts w:ascii="Times New Roman" w:eastAsia="宋体" w:hAnsi="Times New Roman" w:cs="Times New Roman"/>
          <w:sz w:val="20"/>
          <w:szCs w:val="20"/>
        </w:rPr>
      </w:pPr>
      <w:r>
        <w:rPr>
          <w:rFonts w:ascii="Times New Roman" w:eastAsia="宋体" w:hAnsi="Times New Roman" w:cs="Times New Roman" w:hint="eastAsia"/>
          <w:sz w:val="20"/>
          <w:szCs w:val="20"/>
        </w:rPr>
        <w:t>Option-2: TA margin is included within the Common TA. i.e.; Common TA configuration absorbs the maximum TA uncertainty</w:t>
      </w:r>
    </w:p>
    <w:p w14:paraId="4D7B4268" w14:textId="77777777" w:rsidR="0020031B" w:rsidRDefault="00BA3E1C">
      <w:pPr>
        <w:pStyle w:val="ac"/>
        <w:numPr>
          <w:ilvl w:val="3"/>
          <w:numId w:val="0"/>
        </w:numPr>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In our opinion, the necessity of TA margin is limited. TA margin is mainly proposed to handle the poss</w:t>
      </w:r>
      <w:r>
        <w:rPr>
          <w:rFonts w:ascii="Times New Roman" w:eastAsia="宋体" w:hAnsi="Times New Roman" w:cs="Times New Roman" w:hint="eastAsia"/>
          <w:sz w:val="20"/>
          <w:szCs w:val="20"/>
        </w:rPr>
        <w:t xml:space="preserve">ible interference caused by TA overestimation as shown in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_Ref24335 \h </w:instrText>
      </w:r>
      <w:r>
        <w:rPr>
          <w:rFonts w:ascii="Times New Roman" w:eastAsia="宋体" w:hAnsi="Times New Roman" w:cs="Times New Roman"/>
          <w:sz w:val="20"/>
          <w:szCs w:val="20"/>
        </w:rPr>
        <w:instrText xml:space="preserve"> \* MERGEFORMAT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Figure 2</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 However, with consideration of accuracy requirements for TA pre-compensation, the interfer</w:t>
      </w:r>
      <w:r>
        <w:rPr>
          <w:rFonts w:ascii="Times New Roman" w:eastAsia="宋体" w:hAnsi="Times New Roman" w:cs="Times New Roman" w:hint="eastAsia"/>
          <w:sz w:val="20"/>
          <w:szCs w:val="20"/>
        </w:rPr>
        <w:t>ence may not be significant. For example, the NTN based service will be provided by the satellite mainly in FR2 with large bandwidth according to the ITU regulation. In this case, the short PRACH format can be considered for evaluation, e.g., PRACH preambl</w:t>
      </w:r>
      <w:r>
        <w:rPr>
          <w:rFonts w:ascii="Times New Roman" w:eastAsia="宋体" w:hAnsi="Times New Roman" w:cs="Times New Roman" w:hint="eastAsia"/>
          <w:sz w:val="20"/>
          <w:szCs w:val="20"/>
        </w:rPr>
        <w:t>e format B1. In order to make all preamble formats feasible, the TA estimation error should be smaller than half CP (at least) of format B1 with largest SCS (e.g., 120 kHz for Ka-band). Therefore, the error for TA pre-compensation is upper bounded by 439.4</w:t>
      </w:r>
      <w:r>
        <w:rPr>
          <w:rFonts w:ascii="Times New Roman" w:eastAsia="宋体" w:hAnsi="Times New Roman" w:cs="Times New Roman" w:hint="eastAsia"/>
          <w:sz w:val="20"/>
          <w:szCs w:val="20"/>
        </w:rPr>
        <w:t xml:space="preserve">5 ns, i.e., X&lt;=439.45ns. Under this situation, with the detailed simulation parameters in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_Ref27953 \h </w:instrText>
      </w:r>
      <w:r>
        <w:rPr>
          <w:rFonts w:ascii="Times New Roman" w:eastAsia="宋体" w:hAnsi="Times New Roman" w:cs="Times New Roman"/>
          <w:sz w:val="20"/>
          <w:szCs w:val="20"/>
        </w:rPr>
        <w:instrText xml:space="preserve"> \* MERGEFORMAT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Table 2</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 xml:space="preserve">, the influence of TA overestimation is evaluated as shown in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_Ref27744 \h </w:instrText>
      </w:r>
      <w:r>
        <w:rPr>
          <w:rFonts w:ascii="Times New Roman" w:eastAsia="宋体" w:hAnsi="Times New Roman" w:cs="Times New Roman"/>
          <w:sz w:val="20"/>
          <w:szCs w:val="20"/>
        </w:rPr>
        <w:instrText xml:space="preserve"> \* MERGEFORMAT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Figure 3</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w:t>
      </w:r>
      <w:r>
        <w:rPr>
          <w:rFonts w:ascii="Times New Roman" w:eastAsia="宋体" w:hAnsi="Times New Roman" w:cs="Times New Roman"/>
          <w:sz w:val="20"/>
          <w:szCs w:val="20"/>
        </w:rPr>
        <w:t xml:space="preserve"> It can be observed that negligible performance impacts occurs for the PUSCH transmission from other UE.</w:t>
      </w:r>
    </w:p>
    <w:p w14:paraId="0CAF5E62" w14:textId="77777777" w:rsidR="0020031B" w:rsidRDefault="00BA3E1C">
      <w:pPr>
        <w:spacing w:beforeLines="50" w:before="120" w:afterLines="50" w:after="120" w:line="240" w:lineRule="auto"/>
        <w:jc w:val="center"/>
        <w:rPr>
          <w:rFonts w:ascii="Times New Roman" w:eastAsia="宋体" w:hAnsi="Times New Roman"/>
          <w:iCs/>
          <w:sz w:val="20"/>
          <w:szCs w:val="20"/>
        </w:rPr>
      </w:pPr>
      <w:r>
        <w:rPr>
          <w:rFonts w:ascii="Times New Roman" w:eastAsia="宋体" w:hAnsi="Times New Roman" w:hint="eastAsia"/>
          <w:iCs/>
          <w:noProof/>
          <w:sz w:val="20"/>
          <w:szCs w:val="20"/>
        </w:rPr>
        <w:drawing>
          <wp:inline distT="0" distB="0" distL="114300" distR="114300">
            <wp:extent cx="3371850" cy="1388110"/>
            <wp:effectExtent l="0" t="0" r="0" b="2540"/>
            <wp:docPr id="5" name="图片 5"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捕获"/>
                    <pic:cNvPicPr>
                      <a:picLocks noChangeAspect="1"/>
                    </pic:cNvPicPr>
                  </pic:nvPicPr>
                  <pic:blipFill>
                    <a:blip r:embed="rId23"/>
                    <a:stretch>
                      <a:fillRect/>
                    </a:stretch>
                  </pic:blipFill>
                  <pic:spPr>
                    <a:xfrm>
                      <a:off x="0" y="0"/>
                      <a:ext cx="3374694" cy="1389522"/>
                    </a:xfrm>
                    <a:prstGeom prst="rect">
                      <a:avLst/>
                    </a:prstGeom>
                  </pic:spPr>
                </pic:pic>
              </a:graphicData>
            </a:graphic>
          </wp:inline>
        </w:drawing>
      </w:r>
    </w:p>
    <w:p w14:paraId="3EC49DD5" w14:textId="77777777" w:rsidR="0020031B" w:rsidRDefault="00BA3E1C">
      <w:pPr>
        <w:pStyle w:val="a3"/>
        <w:rPr>
          <w:b w:val="0"/>
          <w:iCs/>
          <w:lang w:val="en-US"/>
        </w:rPr>
      </w:pPr>
      <w:bookmarkStart w:id="6" w:name="_Ref24335"/>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6"/>
      <w:r>
        <w:rPr>
          <w:b w:val="0"/>
        </w:rPr>
        <w:t xml:space="preserve"> </w:t>
      </w:r>
      <w:r>
        <w:rPr>
          <w:b w:val="0"/>
          <w:lang w:eastAsia="en-US"/>
        </w:rPr>
        <w:t>I</w:t>
      </w:r>
      <w:r>
        <w:rPr>
          <w:b w:val="0"/>
        </w:rPr>
        <w:t xml:space="preserve">llustration of </w:t>
      </w:r>
      <w:r>
        <w:rPr>
          <w:rFonts w:hint="eastAsia"/>
          <w:b w:val="0"/>
          <w:lang w:val="en-US"/>
        </w:rPr>
        <w:t>TA overestimation</w:t>
      </w:r>
      <w:r>
        <w:rPr>
          <w:b w:val="0"/>
        </w:rPr>
        <w:t xml:space="preserve">. </w:t>
      </w:r>
    </w:p>
    <w:p w14:paraId="17E7D21E" w14:textId="77777777" w:rsidR="0020031B" w:rsidRDefault="00BA3E1C">
      <w:pPr>
        <w:spacing w:beforeLines="50" w:before="120" w:afterLines="50" w:after="120" w:line="240" w:lineRule="auto"/>
        <w:jc w:val="center"/>
        <w:rPr>
          <w:rFonts w:ascii="Times New Roman" w:eastAsia="宋体" w:hAnsi="Times New Roman"/>
          <w:iCs/>
          <w:sz w:val="20"/>
          <w:szCs w:val="20"/>
        </w:rPr>
      </w:pPr>
      <w:r>
        <w:rPr>
          <w:rFonts w:ascii="Times New Roman" w:eastAsia="宋体" w:hAnsi="Times New Roman" w:hint="eastAsia"/>
          <w:iCs/>
          <w:noProof/>
          <w:sz w:val="20"/>
          <w:szCs w:val="20"/>
        </w:rPr>
        <w:lastRenderedPageBreak/>
        <w:drawing>
          <wp:inline distT="0" distB="0" distL="114300" distR="114300">
            <wp:extent cx="2838450" cy="2128520"/>
            <wp:effectExtent l="0" t="0" r="0" b="5080"/>
            <wp:docPr id="9" name="图片 9" descr="TAoverest_Ka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TAoverest_Kaband"/>
                    <pic:cNvPicPr>
                      <a:picLocks noChangeAspect="1"/>
                    </pic:cNvPicPr>
                  </pic:nvPicPr>
                  <pic:blipFill>
                    <a:blip r:embed="rId24"/>
                    <a:stretch>
                      <a:fillRect/>
                    </a:stretch>
                  </pic:blipFill>
                  <pic:spPr>
                    <a:xfrm>
                      <a:off x="0" y="0"/>
                      <a:ext cx="2841113" cy="2131058"/>
                    </a:xfrm>
                    <a:prstGeom prst="rect">
                      <a:avLst/>
                    </a:prstGeom>
                  </pic:spPr>
                </pic:pic>
              </a:graphicData>
            </a:graphic>
          </wp:inline>
        </w:drawing>
      </w:r>
    </w:p>
    <w:p w14:paraId="3374854B" w14:textId="77777777" w:rsidR="0020031B" w:rsidRDefault="00BA3E1C">
      <w:pPr>
        <w:pStyle w:val="a3"/>
        <w:rPr>
          <w:lang w:val="en-US"/>
        </w:rPr>
      </w:pPr>
      <w:bookmarkStart w:id="7" w:name="_Ref27744"/>
      <w:r w:rsidRPr="00B14819">
        <w:rPr>
          <w:b w:val="0"/>
          <w:bCs w:val="0"/>
        </w:rPr>
        <w:t xml:space="preserve">Figure </w:t>
      </w:r>
      <w:r w:rsidRPr="00B14819">
        <w:rPr>
          <w:b w:val="0"/>
          <w:bCs w:val="0"/>
        </w:rPr>
        <w:fldChar w:fldCharType="begin"/>
      </w:r>
      <w:r w:rsidRPr="00B14819">
        <w:rPr>
          <w:b w:val="0"/>
          <w:bCs w:val="0"/>
        </w:rPr>
        <w:instrText xml:space="preserve"> SEQ Figure \* ARABIC </w:instrText>
      </w:r>
      <w:r w:rsidRPr="00B14819">
        <w:rPr>
          <w:b w:val="0"/>
          <w:bCs w:val="0"/>
        </w:rPr>
        <w:fldChar w:fldCharType="separate"/>
      </w:r>
      <w:r w:rsidRPr="00B14819">
        <w:rPr>
          <w:b w:val="0"/>
          <w:bCs w:val="0"/>
        </w:rPr>
        <w:t>3</w:t>
      </w:r>
      <w:r w:rsidRPr="00B14819">
        <w:rPr>
          <w:b w:val="0"/>
          <w:bCs w:val="0"/>
        </w:rPr>
        <w:fldChar w:fldCharType="end"/>
      </w:r>
      <w:bookmarkEnd w:id="7"/>
      <w:r>
        <w:rPr>
          <w:rFonts w:hint="eastAsia"/>
          <w:b w:val="0"/>
          <w:lang w:val="en-US"/>
        </w:rPr>
        <w:t xml:space="preserve"> Influence of TA overestimation in Ka-band</w:t>
      </w:r>
      <w:r>
        <w:rPr>
          <w:b w:val="0"/>
        </w:rPr>
        <w:t xml:space="preserve">. </w:t>
      </w:r>
    </w:p>
    <w:p w14:paraId="182A5129" w14:textId="77777777" w:rsidR="0020031B" w:rsidRDefault="00BA3E1C">
      <w:pPr>
        <w:spacing w:beforeLines="50" w:before="120" w:afterLines="50" w:after="120" w:line="240" w:lineRule="auto"/>
        <w:ind w:left="420"/>
        <w:rPr>
          <w:rFonts w:ascii="Times New Roman" w:eastAsia="宋体" w:hAnsi="Times New Roman"/>
          <w:i/>
          <w:sz w:val="20"/>
          <w:szCs w:val="20"/>
        </w:rPr>
      </w:pPr>
      <w:r>
        <w:rPr>
          <w:rFonts w:ascii="Times New Roman" w:eastAsia="宋体" w:hAnsi="Times New Roman"/>
          <w:b/>
          <w:i/>
          <w:sz w:val="20"/>
          <w:szCs w:val="20"/>
        </w:rPr>
        <w:t>Observation</w:t>
      </w:r>
      <w:r>
        <w:rPr>
          <w:rFonts w:ascii="Times New Roman" w:eastAsia="宋体" w:hAnsi="Times New Roman" w:hint="eastAsia"/>
          <w:b/>
          <w:i/>
          <w:sz w:val="20"/>
          <w:szCs w:val="20"/>
        </w:rPr>
        <w:t xml:space="preserve"> 1: </w:t>
      </w:r>
      <w:r>
        <w:rPr>
          <w:rFonts w:ascii="Times New Roman" w:eastAsia="宋体" w:hAnsi="Times New Roman" w:hint="eastAsia"/>
          <w:i/>
          <w:sz w:val="20"/>
          <w:szCs w:val="20"/>
        </w:rPr>
        <w:t>When the basic accuracy requirements for autonomous pre-compensation is satisfied, the interference caused by TA uncertainty i</w:t>
      </w:r>
      <w:r>
        <w:rPr>
          <w:rFonts w:ascii="Times New Roman" w:eastAsia="宋体" w:hAnsi="Times New Roman" w:hint="eastAsia"/>
          <w:i/>
          <w:sz w:val="20"/>
          <w:szCs w:val="20"/>
        </w:rPr>
        <w:t>s limited.</w:t>
      </w:r>
    </w:p>
    <w:p w14:paraId="2A784D3D" w14:textId="77777777" w:rsidR="0020031B" w:rsidRDefault="00BA3E1C">
      <w:pPr>
        <w:pStyle w:val="ac"/>
        <w:numPr>
          <w:ilvl w:val="3"/>
          <w:numId w:val="0"/>
        </w:numPr>
        <w:ind w:leftChars="200" w:left="440"/>
        <w:rPr>
          <w:rFonts w:ascii="Times New Roman" w:eastAsia="宋体" w:hAnsi="Times New Roman" w:cs="Times New Roman"/>
          <w:sz w:val="20"/>
          <w:szCs w:val="20"/>
        </w:rPr>
      </w:pPr>
      <w:r>
        <w:rPr>
          <w:rFonts w:ascii="Times New Roman" w:eastAsia="宋体" w:hAnsi="Times New Roman" w:cs="Times New Roman"/>
          <w:sz w:val="20"/>
          <w:szCs w:val="20"/>
        </w:rPr>
        <w:t xml:space="preserve">Even proponent companies still want to introduce the </w:t>
      </w:r>
      <w:r>
        <w:rPr>
          <w:rFonts w:ascii="Times New Roman" w:eastAsia="宋体" w:hAnsi="Times New Roman" w:cs="Times New Roman" w:hint="eastAsia"/>
          <w:sz w:val="20"/>
          <w:szCs w:val="20"/>
        </w:rPr>
        <w:t xml:space="preserve">TA margin to handle TA uncertainty, </w:t>
      </w:r>
      <w:r>
        <w:rPr>
          <w:rFonts w:ascii="Times New Roman" w:eastAsia="宋体" w:hAnsi="Times New Roman" w:cs="Times New Roman"/>
          <w:sz w:val="20"/>
          <w:szCs w:val="20"/>
        </w:rPr>
        <w:t>O</w:t>
      </w:r>
      <w:r>
        <w:rPr>
          <w:rFonts w:ascii="Times New Roman" w:eastAsia="宋体" w:hAnsi="Times New Roman" w:cs="Times New Roman" w:hint="eastAsia"/>
          <w:sz w:val="20"/>
          <w:szCs w:val="20"/>
        </w:rPr>
        <w:t xml:space="preserve">ption-2 is preferred for TA margin indication. Comparing to </w:t>
      </w:r>
      <w:r>
        <w:rPr>
          <w:rFonts w:ascii="Times New Roman" w:eastAsia="宋体" w:hAnsi="Times New Roman" w:cs="Times New Roman"/>
          <w:sz w:val="20"/>
          <w:szCs w:val="20"/>
        </w:rPr>
        <w:t>O</w:t>
      </w:r>
      <w:r>
        <w:rPr>
          <w:rFonts w:ascii="Times New Roman" w:eastAsia="宋体" w:hAnsi="Times New Roman" w:cs="Times New Roman" w:hint="eastAsia"/>
          <w:sz w:val="20"/>
          <w:szCs w:val="20"/>
        </w:rPr>
        <w:t xml:space="preserve">ption-1 (i.e., defining dedicated signaling for TA margin), </w:t>
      </w:r>
      <w:r>
        <w:rPr>
          <w:rFonts w:ascii="Times New Roman" w:eastAsia="宋体" w:hAnsi="Times New Roman" w:cs="Times New Roman"/>
          <w:sz w:val="20"/>
          <w:szCs w:val="20"/>
        </w:rPr>
        <w:t>O</w:t>
      </w:r>
      <w:r>
        <w:rPr>
          <w:rFonts w:ascii="Times New Roman" w:eastAsia="宋体" w:hAnsi="Times New Roman" w:cs="Times New Roman" w:hint="eastAsia"/>
          <w:sz w:val="20"/>
          <w:szCs w:val="20"/>
        </w:rPr>
        <w:t xml:space="preserve">ption-2 (i.e., absorbing TA </w:t>
      </w:r>
      <w:r>
        <w:rPr>
          <w:rFonts w:ascii="Times New Roman" w:eastAsia="宋体" w:hAnsi="Times New Roman" w:cs="Times New Roman" w:hint="eastAsia"/>
          <w:sz w:val="20"/>
          <w:szCs w:val="20"/>
        </w:rPr>
        <w:t>margin in common TA) can achieve the TA margin indication with less signaling overhead via BS implementation.</w:t>
      </w:r>
    </w:p>
    <w:p w14:paraId="6437F19A"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4: </w:t>
      </w:r>
      <w:r>
        <w:rPr>
          <w:rFonts w:ascii="Times New Roman" w:eastAsia="宋体" w:hAnsi="Times New Roman" w:hint="eastAsia"/>
          <w:i/>
          <w:sz w:val="20"/>
          <w:szCs w:val="20"/>
        </w:rPr>
        <w:t>The maximum TA uncertainty should be absorbed in common TA configuration to save signaling.</w:t>
      </w:r>
    </w:p>
    <w:p w14:paraId="513C95FC" w14:textId="77777777" w:rsidR="0020031B" w:rsidRDefault="00BA3E1C">
      <w:pPr>
        <w:pStyle w:val="2"/>
        <w:numPr>
          <w:ilvl w:val="1"/>
          <w:numId w:val="6"/>
        </w:numPr>
        <w:rPr>
          <w:rFonts w:ascii="Times New Roman" w:eastAsia="宋体" w:hAnsi="Times New Roman" w:cs="Times New Roman"/>
          <w:sz w:val="24"/>
          <w:szCs w:val="24"/>
          <w:lang w:val="en-US"/>
        </w:rPr>
      </w:pPr>
      <w:r>
        <w:rPr>
          <w:rFonts w:ascii="Times New Roman" w:eastAsia="宋体" w:hAnsi="Times New Roman" w:cs="Times New Roman" w:hint="eastAsia"/>
          <w:sz w:val="24"/>
          <w:szCs w:val="24"/>
          <w:lang w:val="en-US"/>
        </w:rPr>
        <w:t>TA maintenance mechanism</w:t>
      </w:r>
      <w:r>
        <w:rPr>
          <w:rFonts w:ascii="Times New Roman" w:eastAsia="宋体" w:hAnsi="Times New Roman" w:cs="Times New Roman"/>
          <w:sz w:val="24"/>
          <w:szCs w:val="24"/>
          <w:lang w:val="en-US"/>
        </w:rPr>
        <w:t xml:space="preserve"> </w:t>
      </w:r>
    </w:p>
    <w:p w14:paraId="1C52B3C0" w14:textId="77777777" w:rsidR="0020031B" w:rsidRDefault="00BA3E1C">
      <w:pPr>
        <w:pStyle w:val="2"/>
        <w:numPr>
          <w:ilvl w:val="2"/>
          <w:numId w:val="4"/>
        </w:numPr>
        <w:rPr>
          <w:rFonts w:ascii="Times New Roman" w:eastAsia="宋体" w:hAnsi="Times New Roman"/>
          <w:sz w:val="22"/>
          <w:szCs w:val="24"/>
          <w:lang w:val="en-US"/>
        </w:rPr>
      </w:pPr>
      <w:r>
        <w:rPr>
          <w:rFonts w:ascii="Times New Roman" w:eastAsia="宋体" w:hAnsi="Times New Roman" w:hint="eastAsia"/>
          <w:sz w:val="22"/>
          <w:szCs w:val="24"/>
          <w:lang w:val="en-US"/>
        </w:rPr>
        <w:t>Selection on bas</w:t>
      </w:r>
      <w:r>
        <w:rPr>
          <w:rFonts w:ascii="Times New Roman" w:eastAsia="宋体" w:hAnsi="Times New Roman" w:hint="eastAsia"/>
          <w:sz w:val="22"/>
          <w:szCs w:val="24"/>
          <w:lang w:val="en-US"/>
        </w:rPr>
        <w:t>ic mechani</w:t>
      </w:r>
      <w:r>
        <w:rPr>
          <w:rFonts w:ascii="Times New Roman" w:eastAsia="宋体" w:hAnsi="Times New Roman"/>
          <w:sz w:val="22"/>
          <w:szCs w:val="24"/>
          <w:lang w:val="en-US"/>
        </w:rPr>
        <w:t>s</w:t>
      </w:r>
      <w:r>
        <w:rPr>
          <w:rFonts w:ascii="Times New Roman" w:eastAsia="宋体" w:hAnsi="Times New Roman" w:hint="eastAsia"/>
          <w:sz w:val="22"/>
          <w:szCs w:val="24"/>
          <w:lang w:val="en-US"/>
        </w:rPr>
        <w:t>m</w:t>
      </w:r>
    </w:p>
    <w:p w14:paraId="2BC68001" w14:textId="77777777" w:rsidR="0020031B" w:rsidRDefault="00BA3E1C">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In RAN1#103e </w:t>
      </w:r>
      <w:r>
        <w:rPr>
          <w:rFonts w:ascii="Times New Roman" w:eastAsia="宋体" w:hAnsi="Times New Roman" w:cs="Times New Roman" w:hint="eastAsia"/>
          <w:sz w:val="20"/>
          <w:szCs w:val="20"/>
        </w:rPr>
        <w:fldChar w:fldCharType="begin"/>
      </w:r>
      <w:r>
        <w:rPr>
          <w:rFonts w:ascii="Times New Roman" w:eastAsia="宋体" w:hAnsi="Times New Roman" w:cs="Times New Roman" w:hint="eastAsia"/>
          <w:sz w:val="20"/>
          <w:szCs w:val="20"/>
        </w:rPr>
        <w:instrText xml:space="preserve"> REF _Ref3130 \n \h </w:instrText>
      </w:r>
      <w:r>
        <w:rPr>
          <w:rFonts w:ascii="Times New Roman" w:eastAsia="宋体" w:hAnsi="Times New Roman" w:cs="Times New Roman" w:hint="eastAsia"/>
          <w:sz w:val="20"/>
          <w:szCs w:val="20"/>
        </w:rPr>
      </w:r>
      <w:r>
        <w:rPr>
          <w:rFonts w:ascii="Times New Roman" w:eastAsia="宋体" w:hAnsi="Times New Roman" w:cs="Times New Roman" w:hint="eastAsia"/>
          <w:sz w:val="20"/>
          <w:szCs w:val="20"/>
        </w:rPr>
        <w:fldChar w:fldCharType="separate"/>
      </w:r>
      <w:r>
        <w:rPr>
          <w:rFonts w:ascii="Times New Roman" w:eastAsia="宋体" w:hAnsi="Times New Roman" w:cs="Times New Roman"/>
          <w:sz w:val="20"/>
          <w:szCs w:val="20"/>
        </w:rPr>
        <w:t>[3]</w:t>
      </w:r>
      <w:r>
        <w:rPr>
          <w:rFonts w:ascii="Times New Roman" w:eastAsia="宋体" w:hAnsi="Times New Roman" w:cs="Times New Roman" w:hint="eastAsia"/>
          <w:sz w:val="20"/>
          <w:szCs w:val="20"/>
        </w:rPr>
        <w:fldChar w:fldCharType="end"/>
      </w:r>
      <w:r>
        <w:rPr>
          <w:rFonts w:ascii="Times New Roman" w:eastAsia="宋体" w:hAnsi="Times New Roman" w:cs="Times New Roman" w:hint="eastAsia"/>
          <w:sz w:val="20"/>
          <w:szCs w:val="20"/>
        </w:rPr>
        <w:t>, three solutions are considered for TA maintenance:</w:t>
      </w:r>
    </w:p>
    <w:p w14:paraId="79296321" w14:textId="77777777" w:rsidR="0020031B" w:rsidRDefault="00BA3E1C">
      <w:pPr>
        <w:pStyle w:val="ac"/>
        <w:numPr>
          <w:ilvl w:val="0"/>
          <w:numId w:val="8"/>
        </w:numPr>
        <w:ind w:firstLineChars="0"/>
        <w:rPr>
          <w:rFonts w:ascii="Times New Roman" w:eastAsia="宋体" w:hAnsi="Times New Roman" w:cs="Times New Roman"/>
          <w:sz w:val="20"/>
          <w:szCs w:val="20"/>
        </w:rPr>
      </w:pPr>
      <w:r>
        <w:rPr>
          <w:rFonts w:ascii="Times New Roman" w:eastAsia="宋体" w:hAnsi="Times New Roman" w:cs="Times New Roman" w:hint="eastAsia"/>
          <w:sz w:val="20"/>
          <w:szCs w:val="20"/>
        </w:rPr>
        <w:t>Option-1: Open-loop only</w:t>
      </w:r>
    </w:p>
    <w:p w14:paraId="43CCCEBE" w14:textId="77777777" w:rsidR="0020031B" w:rsidRDefault="00BA3E1C">
      <w:pPr>
        <w:pStyle w:val="ac"/>
        <w:numPr>
          <w:ilvl w:val="0"/>
          <w:numId w:val="8"/>
        </w:numPr>
        <w:ind w:firstLineChars="0"/>
        <w:rPr>
          <w:rFonts w:ascii="Times New Roman" w:eastAsia="宋体" w:hAnsi="Times New Roman" w:cs="Times New Roman"/>
          <w:sz w:val="20"/>
          <w:szCs w:val="20"/>
        </w:rPr>
      </w:pPr>
      <w:r>
        <w:rPr>
          <w:rFonts w:ascii="Times New Roman" w:eastAsia="宋体" w:hAnsi="Times New Roman" w:cs="Times New Roman" w:hint="eastAsia"/>
          <w:sz w:val="20"/>
          <w:szCs w:val="20"/>
        </w:rPr>
        <w:t>Option-2: Combined open and closed-loop</w:t>
      </w:r>
    </w:p>
    <w:p w14:paraId="23241C47" w14:textId="77777777" w:rsidR="0020031B" w:rsidRDefault="00BA3E1C">
      <w:pPr>
        <w:pStyle w:val="ac"/>
        <w:numPr>
          <w:ilvl w:val="0"/>
          <w:numId w:val="8"/>
        </w:numPr>
        <w:ind w:firstLineChars="0"/>
        <w:rPr>
          <w:rFonts w:ascii="Times New Roman" w:eastAsia="宋体" w:hAnsi="Times New Roman" w:cs="Times New Roman"/>
          <w:sz w:val="20"/>
          <w:szCs w:val="20"/>
        </w:rPr>
      </w:pPr>
      <w:r>
        <w:rPr>
          <w:rFonts w:ascii="Times New Roman" w:eastAsia="宋体" w:hAnsi="Times New Roman" w:cs="Times New Roman" w:hint="eastAsia"/>
          <w:sz w:val="20"/>
          <w:szCs w:val="20"/>
        </w:rPr>
        <w:t>Option-3: Closed-loop only</w:t>
      </w:r>
    </w:p>
    <w:p w14:paraId="3B5D8DAF" w14:textId="77777777" w:rsidR="0020031B" w:rsidRDefault="00BA3E1C">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Similar to synchronization in initial access, UE can</w:t>
      </w:r>
      <w:r>
        <w:rPr>
          <w:rFonts w:ascii="Times New Roman" w:eastAsia="宋体" w:hAnsi="Times New Roman" w:cs="Times New Roman" w:hint="eastAsia"/>
          <w:sz w:val="20"/>
          <w:szCs w:val="20"/>
        </w:rPr>
        <w:t xml:space="preserve"> use its acquired GNSS position and satellite ephemeris to estimate the TA corresponding to service link, which saves the signaling overhead of TA update. Hence, open-loop method should be applied at least for service link</w:t>
      </w:r>
      <w:r>
        <w:rPr>
          <w:rFonts w:ascii="Times New Roman" w:eastAsia="宋体" w:hAnsi="Times New Roman" w:cs="Times New Roman"/>
          <w:sz w:val="20"/>
          <w:szCs w:val="20"/>
        </w:rPr>
        <w:t xml:space="preserve"> along with the </w:t>
      </w:r>
      <w:r>
        <w:rPr>
          <w:rFonts w:ascii="Times New Roman" w:eastAsia="宋体" w:hAnsi="Times New Roman" w:cs="Times New Roman" w:hint="eastAsia"/>
          <w:sz w:val="20"/>
          <w:szCs w:val="20"/>
        </w:rPr>
        <w:t xml:space="preserve">indicated common </w:t>
      </w:r>
      <w:r>
        <w:rPr>
          <w:rFonts w:ascii="Times New Roman" w:eastAsia="宋体" w:hAnsi="Times New Roman" w:cs="Times New Roman"/>
          <w:sz w:val="20"/>
          <w:szCs w:val="20"/>
        </w:rPr>
        <w:t>T</w:t>
      </w:r>
      <w:r>
        <w:rPr>
          <w:rFonts w:ascii="Times New Roman" w:eastAsia="宋体" w:hAnsi="Times New Roman" w:cs="Times New Roman"/>
          <w:sz w:val="20"/>
          <w:szCs w:val="20"/>
        </w:rPr>
        <w:t xml:space="preserve">A from BS for feeder link. </w:t>
      </w:r>
    </w:p>
    <w:p w14:paraId="0F114DC4" w14:textId="77777777" w:rsidR="0020031B" w:rsidRDefault="00BA3E1C">
      <w:pPr>
        <w:spacing w:after="120"/>
        <w:ind w:leftChars="200" w:left="440"/>
        <w:rPr>
          <w:rFonts w:ascii="Times New Roman" w:eastAsia="宋体" w:hAnsi="Times New Roman" w:cs="Times New Roman"/>
          <w:sz w:val="20"/>
          <w:szCs w:val="20"/>
        </w:rPr>
      </w:pPr>
      <w:r>
        <w:rPr>
          <w:rFonts w:ascii="Times New Roman" w:eastAsia="宋体" w:hAnsi="Times New Roman" w:cs="Times New Roman"/>
          <w:sz w:val="20"/>
          <w:szCs w:val="20"/>
        </w:rPr>
        <w:t xml:space="preserve">Meanwhile, the estimation accuracy will be impacted by several aspects and in the extreme case, accumulated errors will occur for UL transmission. In this way, TA adjustment indication from BS side, e.g., TA information via MAC CE, is still needed. </w:t>
      </w:r>
      <w:r>
        <w:rPr>
          <w:rFonts w:ascii="Times New Roman" w:eastAsia="宋体" w:hAnsi="Times New Roman" w:cs="Times New Roman" w:hint="eastAsia"/>
          <w:sz w:val="20"/>
          <w:szCs w:val="20"/>
        </w:rPr>
        <w:t>Based o</w:t>
      </w:r>
      <w:r>
        <w:rPr>
          <w:rFonts w:ascii="Times New Roman" w:eastAsia="宋体" w:hAnsi="Times New Roman" w:cs="Times New Roman" w:hint="eastAsia"/>
          <w:sz w:val="20"/>
          <w:szCs w:val="20"/>
        </w:rPr>
        <w:t>n above analysis, combined open and closed-loop method is the most suitable one for TA maintenance since it is able to cover scenarios with different configurations.</w:t>
      </w:r>
    </w:p>
    <w:p w14:paraId="25E10DDB" w14:textId="77777777" w:rsidR="0020031B" w:rsidRDefault="00BA3E1C">
      <w:pPr>
        <w:ind w:leftChars="200" w:left="440"/>
        <w:jc w:val="both"/>
        <w:rPr>
          <w:rFonts w:ascii="Times New Roman" w:eastAsia="宋体" w:hAnsi="Times New Roman" w:cs="Times New Roman"/>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5: </w:t>
      </w:r>
      <w:r>
        <w:rPr>
          <w:rFonts w:ascii="Times New Roman" w:eastAsia="宋体" w:hAnsi="Times New Roman" w:hint="eastAsia"/>
          <w:i/>
          <w:sz w:val="20"/>
          <w:szCs w:val="20"/>
        </w:rPr>
        <w:t>Combined open and closed-loop method should be applied for TA maintenance in c</w:t>
      </w:r>
      <w:r>
        <w:rPr>
          <w:rFonts w:ascii="Times New Roman" w:eastAsia="宋体" w:hAnsi="Times New Roman" w:hint="eastAsia"/>
          <w:i/>
          <w:sz w:val="20"/>
          <w:szCs w:val="20"/>
        </w:rPr>
        <w:t>onnected mode.</w:t>
      </w:r>
    </w:p>
    <w:p w14:paraId="45DD4022" w14:textId="77777777" w:rsidR="0020031B" w:rsidRDefault="00BA3E1C">
      <w:pPr>
        <w:pStyle w:val="2"/>
        <w:numPr>
          <w:ilvl w:val="2"/>
          <w:numId w:val="4"/>
        </w:numPr>
        <w:rPr>
          <w:rFonts w:ascii="Times New Roman" w:eastAsia="宋体" w:hAnsi="Times New Roman"/>
          <w:sz w:val="22"/>
          <w:szCs w:val="24"/>
          <w:lang w:val="en-US"/>
        </w:rPr>
      </w:pPr>
      <w:r>
        <w:rPr>
          <w:rFonts w:ascii="Times New Roman" w:eastAsia="宋体" w:hAnsi="Times New Roman" w:hint="eastAsia"/>
          <w:sz w:val="22"/>
          <w:szCs w:val="24"/>
          <w:lang w:val="en-US"/>
        </w:rPr>
        <w:t>Details on combination of open and closed-loop</w:t>
      </w:r>
    </w:p>
    <w:p w14:paraId="53F22D52" w14:textId="77777777" w:rsidR="0020031B" w:rsidRDefault="00BA3E1C">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When open and closed-loop methods are combined, TA can be updated based on both autonomous adjustment from UE and TA command from network. More specifically, when TA command is not received, UE </w:t>
      </w:r>
      <w:r>
        <w:rPr>
          <w:rFonts w:ascii="Times New Roman" w:eastAsia="宋体" w:hAnsi="Times New Roman" w:cs="Times New Roman" w:hint="eastAsia"/>
          <w:sz w:val="20"/>
          <w:szCs w:val="20"/>
        </w:rPr>
        <w:t xml:space="preserve">autonomously adjusts TA based on GNSS information and indicated common timing drift rate. Otherwise, UE will additionally adjust a value derived from TA command. The TA command in closed-loop adjustment is mainly to correct the residual error of open-loop </w:t>
      </w:r>
      <w:r>
        <w:rPr>
          <w:rFonts w:ascii="Times New Roman" w:eastAsia="宋体" w:hAnsi="Times New Roman" w:cs="Times New Roman" w:hint="eastAsia"/>
          <w:sz w:val="20"/>
          <w:szCs w:val="20"/>
        </w:rPr>
        <w:t xml:space="preserve">adjustment. Thus, there is no misalignment between the open </w:t>
      </w:r>
      <w:r>
        <w:rPr>
          <w:rFonts w:ascii="Times New Roman" w:eastAsia="宋体" w:hAnsi="Times New Roman" w:cs="Times New Roman" w:hint="eastAsia"/>
          <w:sz w:val="20"/>
          <w:szCs w:val="20"/>
        </w:rPr>
        <w:lastRenderedPageBreak/>
        <w:t>and closed-loop mechanisms. Based on above analysis, the TA update formula could be expressed as in following proposal.</w:t>
      </w:r>
    </w:p>
    <w:p w14:paraId="0CC17BE2"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6: </w:t>
      </w:r>
      <w:r>
        <w:rPr>
          <w:rFonts w:ascii="Times New Roman" w:eastAsia="宋体" w:hAnsi="Times New Roman" w:hint="eastAsia"/>
          <w:i/>
          <w:sz w:val="20"/>
          <w:szCs w:val="20"/>
        </w:rPr>
        <w:t>In connected mode, TA value should be update as follows:</w:t>
      </w:r>
    </w:p>
    <w:p w14:paraId="75BA3F73" w14:textId="77777777" w:rsidR="0020031B" w:rsidRDefault="00BA3E1C">
      <w:pPr>
        <w:pStyle w:val="ac"/>
        <w:ind w:left="420" w:firstLineChars="0" w:firstLine="0"/>
        <w:rPr>
          <w:rFonts w:ascii="Times New Roman" w:eastAsia="宋体" w:hAnsi="Times New Roman" w:cs="Times New Roman"/>
          <w:sz w:val="20"/>
          <w:szCs w:val="20"/>
        </w:rPr>
      </w:pPr>
      <w:r>
        <w:rPr>
          <w:rFonts w:ascii="Times New Roman" w:eastAsia="宋体" w:hAnsi="Times New Roman" w:cs="Times New Roman"/>
          <w:position w:val="-36"/>
          <w:sz w:val="20"/>
          <w:szCs w:val="20"/>
        </w:rPr>
        <w:object w:dxaOrig="8585" w:dyaOrig="842" w14:anchorId="601CD2A0">
          <v:shape id="_x0000_i1044" type="#_x0000_t75" style="width:429.5pt;height:41.95pt" o:ole="">
            <v:imagedata r:id="rId25" o:title=""/>
          </v:shape>
          <o:OLEObject Type="Embed" ProgID="Equation.KSEE3" ShapeID="_x0000_i1044" DrawAspect="Content" ObjectID="_1672470277" r:id="rId26"/>
        </w:object>
      </w:r>
    </w:p>
    <w:p w14:paraId="5CA0469B" w14:textId="77777777" w:rsidR="0020031B" w:rsidRDefault="00BA3E1C">
      <w:pPr>
        <w:pStyle w:val="ac"/>
        <w:ind w:left="420" w:firstLineChars="0" w:firstLine="0"/>
        <w:rPr>
          <w:rFonts w:ascii="Times New Roman" w:eastAsia="宋体" w:hAnsi="Times New Roman" w:cs="Times New Roman"/>
          <w:i/>
          <w:iCs/>
          <w:sz w:val="20"/>
          <w:szCs w:val="20"/>
        </w:rPr>
      </w:pPr>
      <w:r>
        <w:rPr>
          <w:rFonts w:ascii="Times New Roman" w:eastAsia="宋体" w:hAnsi="Times New Roman" w:cs="Times New Roman" w:hint="eastAsia"/>
          <w:i/>
          <w:iCs/>
          <w:sz w:val="20"/>
          <w:szCs w:val="20"/>
        </w:rPr>
        <w:t>where</w:t>
      </w:r>
    </w:p>
    <w:p w14:paraId="0BC18AB1" w14:textId="77777777" w:rsidR="0020031B" w:rsidRDefault="00BA3E1C">
      <w:pPr>
        <w:numPr>
          <w:ilvl w:val="0"/>
          <w:numId w:val="5"/>
        </w:numPr>
        <w:spacing w:after="0" w:line="240" w:lineRule="auto"/>
        <w:ind w:left="726" w:hanging="363"/>
        <w:rPr>
          <w:rFonts w:ascii="Times New Roman" w:eastAsia="宋体" w:hAnsi="Times New Roman" w:cs="Times New Roman"/>
          <w:i/>
          <w:iCs/>
          <w:sz w:val="20"/>
          <w:szCs w:val="20"/>
        </w:rPr>
      </w:pPr>
      <w:r>
        <w:rPr>
          <w:rFonts w:ascii="Times New Roman" w:hAnsi="Times New Roman" w:cs="Times New Roman" w:hint="eastAsia"/>
          <w:i/>
          <w:iCs/>
          <w:position w:val="-14"/>
          <w:sz w:val="20"/>
          <w:szCs w:val="20"/>
        </w:rPr>
        <w:object w:dxaOrig="720" w:dyaOrig="377" w14:anchorId="34732585">
          <v:shape id="_x0000_i1045" type="#_x0000_t75" style="width:36.3pt;height:18.8pt" o:ole="">
            <v:imagedata r:id="rId27" o:title=""/>
          </v:shape>
          <o:OLEObject Type="Embed" ProgID="Equation.KSEE3" ShapeID="_x0000_i1045" DrawAspect="Content" ObjectID="_1672470278" r:id="rId28"/>
        </w:object>
      </w:r>
      <w:r>
        <w:rPr>
          <w:rFonts w:ascii="Times New Roman" w:hAnsi="Times New Roman" w:cs="Times New Roman" w:hint="eastAsia"/>
          <w:i/>
          <w:iCs/>
          <w:sz w:val="20"/>
          <w:szCs w:val="20"/>
        </w:rPr>
        <w:t xml:space="preserve"> is original TA, which refers to the value </w:t>
      </w:r>
      <w:r>
        <w:rPr>
          <w:rFonts w:ascii="Times New Roman" w:hAnsi="Times New Roman" w:cs="Times New Roman"/>
          <w:i/>
          <w:iCs/>
          <w:sz w:val="20"/>
          <w:szCs w:val="20"/>
        </w:rPr>
        <w:t>applied for the latest UL transmission.</w:t>
      </w:r>
    </w:p>
    <w:p w14:paraId="1DF495C2" w14:textId="77777777" w:rsidR="0020031B" w:rsidRDefault="00BA3E1C">
      <w:pPr>
        <w:pStyle w:val="ac"/>
        <w:numPr>
          <w:ilvl w:val="0"/>
          <w:numId w:val="5"/>
        </w:numPr>
        <w:spacing w:after="0" w:line="240" w:lineRule="auto"/>
        <w:ind w:left="726" w:firstLineChars="0" w:hanging="363"/>
        <w:rPr>
          <w:rFonts w:ascii="Times New Roman" w:eastAsia="宋体" w:hAnsi="Times New Roman" w:cs="Times New Roman"/>
          <w:i/>
          <w:iCs/>
          <w:sz w:val="20"/>
          <w:szCs w:val="20"/>
        </w:rPr>
      </w:pPr>
      <m:oMath>
        <m:sSub>
          <m:sSubPr>
            <m:ctrlPr>
              <w:rPr>
                <w:rFonts w:ascii="Cambria Math" w:hAnsi="Cambria Math"/>
                <w:kern w:val="2"/>
                <w:sz w:val="21"/>
              </w:rPr>
            </m:ctrlPr>
          </m:sSubPr>
          <m:e>
            <m:r>
              <w:rPr>
                <w:rFonts w:ascii="Cambria Math" w:hAnsi="Cambria Math"/>
              </w:rPr>
              <m:t>N</m:t>
            </m:r>
          </m:e>
          <m:sub>
            <m:r>
              <w:rPr>
                <w:rFonts w:ascii="Cambria Math" w:hAnsi="Cambria Math"/>
              </w:rPr>
              <m:t>TA</m:t>
            </m:r>
            <m:r>
              <w:rPr>
                <w:rFonts w:ascii="Cambria Math" w:hAnsi="Cambria Math"/>
              </w:rPr>
              <m:t>_</m:t>
            </m:r>
            <m:r>
              <w:rPr>
                <w:rFonts w:ascii="Cambria Math" w:hAnsi="Cambria Math"/>
              </w:rPr>
              <m:t>open</m:t>
            </m:r>
          </m:sub>
        </m:sSub>
      </m:oMath>
      <w:r>
        <w:rPr>
          <w:rFonts w:hint="eastAsia"/>
          <w:kern w:val="2"/>
          <w:sz w:val="21"/>
        </w:rPr>
        <w:t xml:space="preserve"> </w:t>
      </w:r>
      <w:r>
        <w:rPr>
          <w:rFonts w:ascii="Times New Roman" w:eastAsia="宋体" w:hAnsi="Times New Roman" w:cs="Times New Roman" w:hint="eastAsia"/>
          <w:i/>
          <w:iCs/>
          <w:sz w:val="20"/>
          <w:szCs w:val="20"/>
        </w:rPr>
        <w:t>is the</w:t>
      </w:r>
      <w:r>
        <w:rPr>
          <w:rFonts w:ascii="Times New Roman" w:eastAsia="宋体" w:hAnsi="Times New Roman" w:cs="Times New Roman"/>
          <w:i/>
          <w:iCs/>
          <w:sz w:val="20"/>
          <w:szCs w:val="20"/>
        </w:rPr>
        <w:t xml:space="preserve"> TA adjustment value due the</w:t>
      </w:r>
      <w:r>
        <w:rPr>
          <w:rFonts w:ascii="Times New Roman" w:eastAsia="宋体" w:hAnsi="Times New Roman" w:cs="Times New Roman" w:hint="eastAsia"/>
          <w:i/>
          <w:iCs/>
          <w:sz w:val="20"/>
          <w:szCs w:val="20"/>
        </w:rPr>
        <w:t xml:space="preserve"> open-loop </w:t>
      </w:r>
      <w:r>
        <w:rPr>
          <w:rFonts w:ascii="Times New Roman" w:eastAsia="宋体" w:hAnsi="Times New Roman" w:cs="Times New Roman"/>
          <w:i/>
          <w:iCs/>
          <w:sz w:val="20"/>
          <w:szCs w:val="20"/>
        </w:rPr>
        <w:t xml:space="preserve">processing including variation of TA for service and </w:t>
      </w:r>
      <w:r>
        <w:rPr>
          <w:rFonts w:ascii="Times New Roman" w:eastAsia="宋体" w:hAnsi="Times New Roman" w:cs="Times New Roman"/>
          <w:i/>
          <w:iCs/>
          <w:sz w:val="20"/>
          <w:szCs w:val="20"/>
        </w:rPr>
        <w:t>feeder link based on the GNSS and indicated information.</w:t>
      </w:r>
    </w:p>
    <w:p w14:paraId="1CEEE941" w14:textId="77777777" w:rsidR="0020031B" w:rsidRDefault="00BA3E1C">
      <w:pPr>
        <w:numPr>
          <w:ilvl w:val="0"/>
          <w:numId w:val="5"/>
        </w:numPr>
        <w:spacing w:after="0" w:line="240" w:lineRule="auto"/>
        <w:ind w:left="726" w:hanging="363"/>
        <w:rPr>
          <w:rFonts w:ascii="Times New Roman" w:eastAsia="宋体" w:hAnsi="Times New Roman" w:cs="Times New Roman"/>
          <w:i/>
          <w:iCs/>
          <w:sz w:val="20"/>
          <w:szCs w:val="20"/>
        </w:rPr>
      </w:pPr>
      <w:r>
        <w:rPr>
          <w:rFonts w:ascii="Times New Roman" w:eastAsia="宋体" w:hAnsi="Times New Roman" w:cs="Times New Roman"/>
          <w:i/>
          <w:iCs/>
          <w:position w:val="-10"/>
          <w:sz w:val="20"/>
          <w:szCs w:val="20"/>
        </w:rPr>
        <w:object w:dxaOrig="1927" w:dyaOrig="354" w14:anchorId="683916C4">
          <v:shape id="_x0000_i1046" type="#_x0000_t75" style="width:96.4pt;height:17.55pt" o:ole="">
            <v:imagedata r:id="rId29" o:title=""/>
          </v:shape>
          <o:OLEObject Type="Embed" ProgID="Equation.KSEE3" ShapeID="_x0000_i1046" DrawAspect="Content" ObjectID="_1672470279" r:id="rId30"/>
        </w:object>
      </w:r>
      <w:r>
        <w:rPr>
          <w:rFonts w:ascii="Times New Roman" w:eastAsia="宋体" w:hAnsi="Times New Roman" w:cs="Times New Roman" w:hint="eastAsia"/>
          <w:i/>
          <w:iCs/>
          <w:sz w:val="20"/>
          <w:szCs w:val="20"/>
        </w:rPr>
        <w:t xml:space="preserve"> is the TA command based closed-loop adjustment, where </w:t>
      </w:r>
      <w:r>
        <w:rPr>
          <w:rFonts w:ascii="Times New Roman" w:eastAsia="宋体" w:hAnsi="Times New Roman" w:cs="Times New Roman" w:hint="eastAsia"/>
          <w:i/>
          <w:iCs/>
          <w:position w:val="-10"/>
          <w:sz w:val="20"/>
          <w:szCs w:val="20"/>
        </w:rPr>
        <w:object w:dxaOrig="1495" w:dyaOrig="310" w14:anchorId="767311EA">
          <v:shape id="_x0000_i1047" type="#_x0000_t75" style="width:74.5pt;height:15.65pt" o:ole="">
            <v:imagedata r:id="rId31" o:title=""/>
          </v:shape>
          <o:OLEObject Type="Embed" ProgID="Equation.KSEE3" ShapeID="_x0000_i1047" DrawAspect="Content" ObjectID="_1672470280" r:id="rId32"/>
        </w:object>
      </w:r>
      <w:r>
        <w:rPr>
          <w:rFonts w:ascii="Times New Roman" w:eastAsia="宋体" w:hAnsi="Times New Roman" w:cs="Times New Roman" w:hint="eastAsia"/>
          <w:i/>
          <w:iCs/>
          <w:sz w:val="20"/>
          <w:szCs w:val="20"/>
        </w:rPr>
        <w:t xml:space="preserve"> is indicated in MAC CE TA command.</w:t>
      </w:r>
    </w:p>
    <w:p w14:paraId="41C5660D" w14:textId="77777777" w:rsidR="0020031B" w:rsidRDefault="00BA3E1C">
      <w:pPr>
        <w:pStyle w:val="1"/>
        <w:keepNext w:val="0"/>
        <w:keepLines w:val="0"/>
        <w:widowControl w:val="0"/>
        <w:numPr>
          <w:ilvl w:val="0"/>
          <w:numId w:val="4"/>
        </w:numPr>
        <w:pBdr>
          <w:top w:val="none" w:sz="0" w:space="0" w:color="auto"/>
        </w:pBdr>
        <w:tabs>
          <w:tab w:val="left" w:pos="432"/>
        </w:tabs>
        <w:overflowPunct/>
        <w:snapToGrid w:val="0"/>
        <w:spacing w:beforeLines="50" w:before="120" w:afterLines="50" w:after="120"/>
        <w:ind w:left="431" w:hanging="431"/>
        <w:textAlignment w:val="auto"/>
        <w:rPr>
          <w:rFonts w:eastAsia="黑体" w:cs="Times New Roman"/>
          <w:b/>
          <w:bCs/>
          <w:sz w:val="28"/>
          <w:szCs w:val="30"/>
          <w:lang w:val="en-US"/>
        </w:rPr>
      </w:pPr>
      <w:r>
        <w:rPr>
          <w:rFonts w:eastAsia="黑体" w:cs="Times New Roman" w:hint="eastAsia"/>
          <w:b/>
          <w:bCs/>
          <w:sz w:val="28"/>
          <w:szCs w:val="30"/>
          <w:lang w:val="en-US"/>
        </w:rPr>
        <w:t>Satellite ephemeris format</w:t>
      </w:r>
    </w:p>
    <w:p w14:paraId="4CE8EB45" w14:textId="77777777" w:rsidR="0020031B" w:rsidRDefault="00BA3E1C">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In RAN1#103e, the satellite e</w:t>
      </w:r>
      <w:r>
        <w:rPr>
          <w:rFonts w:ascii="Times New Roman" w:eastAsia="宋体" w:hAnsi="Times New Roman" w:cs="Times New Roman" w:hint="eastAsia"/>
          <w:sz w:val="20"/>
          <w:szCs w:val="20"/>
        </w:rPr>
        <w:t>phemeris format is discussed</w:t>
      </w:r>
      <w:r>
        <w:rPr>
          <w:rFonts w:ascii="Times New Roman" w:eastAsia="宋体" w:hAnsi="Times New Roman" w:cs="Times New Roman"/>
          <w:sz w:val="20"/>
          <w:szCs w:val="20"/>
        </w:rPr>
        <w:t xml:space="preserve"> as following options without consensus:</w:t>
      </w:r>
    </w:p>
    <w:p w14:paraId="1E969B26" w14:textId="77777777" w:rsidR="0020031B" w:rsidRDefault="00BA3E1C">
      <w:pPr>
        <w:pStyle w:val="ac"/>
        <w:numPr>
          <w:ilvl w:val="0"/>
          <w:numId w:val="9"/>
        </w:numPr>
        <w:ind w:firstLineChars="0"/>
        <w:rPr>
          <w:rFonts w:ascii="Times New Roman" w:eastAsia="宋体" w:hAnsi="Times New Roman" w:cs="Times New Roman"/>
          <w:sz w:val="20"/>
          <w:szCs w:val="20"/>
        </w:rPr>
      </w:pPr>
      <w:r>
        <w:rPr>
          <w:rFonts w:ascii="Times New Roman" w:eastAsia="宋体" w:hAnsi="Times New Roman" w:cs="Times New Roman" w:hint="eastAsia"/>
          <w:sz w:val="20"/>
          <w:szCs w:val="20"/>
        </w:rPr>
        <w:t>Option-1: ephemeris format based on orbital elements</w:t>
      </w:r>
    </w:p>
    <w:p w14:paraId="12CAB58F" w14:textId="77777777" w:rsidR="0020031B" w:rsidRDefault="00BA3E1C">
      <w:pPr>
        <w:pStyle w:val="ac"/>
        <w:numPr>
          <w:ilvl w:val="0"/>
          <w:numId w:val="9"/>
        </w:numPr>
        <w:ind w:firstLineChars="0"/>
        <w:rPr>
          <w:rFonts w:ascii="Times New Roman" w:eastAsia="宋体" w:hAnsi="Times New Roman" w:cs="Times New Roman"/>
          <w:sz w:val="20"/>
          <w:szCs w:val="20"/>
        </w:rPr>
      </w:pPr>
      <w:r>
        <w:rPr>
          <w:rFonts w:ascii="Times New Roman" w:eastAsia="宋体" w:hAnsi="Times New Roman" w:cs="Times New Roman" w:hint="eastAsia"/>
          <w:sz w:val="20"/>
          <w:szCs w:val="20"/>
        </w:rPr>
        <w:t>Option-2: ephemeris format based on instant state vectors with implicit time</w:t>
      </w:r>
      <w:r>
        <w:rPr>
          <w:rFonts w:ascii="Times New Roman" w:eastAsia="宋体" w:hAnsi="Times New Roman" w:cs="Times New Roman" w:hint="eastAsia"/>
          <w:sz w:val="20"/>
          <w:szCs w:val="20"/>
        </w:rPr>
        <w:t>: e.g., instant position and instant velocity</w:t>
      </w:r>
    </w:p>
    <w:p w14:paraId="6408C2D3" w14:textId="77777777" w:rsidR="0020031B" w:rsidRDefault="00BA3E1C">
      <w:pPr>
        <w:spacing w:after="120"/>
        <w:ind w:leftChars="200" w:left="440"/>
        <w:rPr>
          <w:rFonts w:ascii="Times New Roman" w:eastAsia="宋体" w:hAnsi="Times New Roman" w:cs="Times New Roman"/>
          <w:sz w:val="20"/>
          <w:szCs w:val="20"/>
        </w:rPr>
      </w:pPr>
      <w:r>
        <w:rPr>
          <w:rFonts w:ascii="Times New Roman" w:eastAsia="宋体" w:hAnsi="Times New Roman" w:cs="Times New Roman" w:hint="eastAsia"/>
          <w:sz w:val="20"/>
          <w:szCs w:val="20"/>
        </w:rPr>
        <w:t xml:space="preserve">The two formats both work in satellite based NTN systems </w:t>
      </w:r>
      <w:r>
        <w:rPr>
          <w:rFonts w:ascii="Times New Roman" w:eastAsia="宋体" w:hAnsi="Times New Roman" w:cs="Times New Roman"/>
          <w:sz w:val="20"/>
          <w:szCs w:val="20"/>
        </w:rPr>
        <w:t xml:space="preserve">with </w:t>
      </w:r>
      <w:r>
        <w:rPr>
          <w:rFonts w:ascii="Times New Roman" w:eastAsia="宋体" w:hAnsi="Times New Roman" w:cs="Times New Roman" w:hint="eastAsia"/>
          <w:sz w:val="20"/>
          <w:szCs w:val="20"/>
        </w:rPr>
        <w:t>different advantages. In option-1, after</w:t>
      </w:r>
      <w:r>
        <w:rPr>
          <w:rFonts w:ascii="Times New Roman" w:eastAsia="宋体" w:hAnsi="Times New Roman" w:cs="Times New Roman"/>
          <w:sz w:val="20"/>
          <w:szCs w:val="20"/>
        </w:rPr>
        <w:t xml:space="preserve"> the reception of all ephemeris data, the </w:t>
      </w:r>
      <w:r>
        <w:rPr>
          <w:rFonts w:ascii="Times New Roman" w:eastAsia="宋体" w:hAnsi="Times New Roman" w:cs="Times New Roman" w:hint="eastAsia"/>
          <w:sz w:val="20"/>
          <w:szCs w:val="20"/>
        </w:rPr>
        <w:t xml:space="preserve">UE can propagate </w:t>
      </w:r>
      <w:r>
        <w:rPr>
          <w:rFonts w:ascii="Times New Roman" w:eastAsia="宋体" w:hAnsi="Times New Roman" w:cs="Times New Roman"/>
          <w:sz w:val="20"/>
          <w:szCs w:val="20"/>
        </w:rPr>
        <w:t xml:space="preserve">movement of satellite </w:t>
      </w:r>
      <w:r>
        <w:rPr>
          <w:rFonts w:ascii="Times New Roman" w:eastAsia="宋体" w:hAnsi="Times New Roman" w:cs="Times New Roman" w:hint="eastAsia"/>
          <w:sz w:val="20"/>
          <w:szCs w:val="20"/>
        </w:rPr>
        <w:t>with orbital elements and perform long term prediction on the satellite p</w:t>
      </w:r>
      <w:r>
        <w:rPr>
          <w:rFonts w:ascii="Times New Roman" w:eastAsia="宋体" w:hAnsi="Times New Roman" w:cs="Times New Roman" w:hint="eastAsia"/>
          <w:sz w:val="20"/>
          <w:szCs w:val="20"/>
        </w:rPr>
        <w:t>osition</w:t>
      </w:r>
      <w:r>
        <w:rPr>
          <w:rFonts w:ascii="Times New Roman" w:eastAsia="宋体" w:hAnsi="Times New Roman" w:cs="Times New Roman"/>
          <w:sz w:val="20"/>
          <w:szCs w:val="20"/>
        </w:rPr>
        <w:t>. Meanwhile, with knowledge of other satellite</w:t>
      </w:r>
      <w:r>
        <w:rPr>
          <w:rFonts w:ascii="Times New Roman" w:eastAsia="宋体" w:hAnsi="Times New Roman" w:cs="Times New Roman" w:hint="eastAsia"/>
          <w:sz w:val="20"/>
          <w:szCs w:val="20"/>
        </w:rPr>
        <w:t>s</w:t>
      </w:r>
      <w:r>
        <w:rPr>
          <w:rFonts w:ascii="Times New Roman" w:eastAsia="宋体" w:hAnsi="Times New Roman" w:cs="Times New Roman"/>
          <w:sz w:val="20"/>
          <w:szCs w:val="20"/>
        </w:rPr>
        <w:t>, more benefits for RRM</w:t>
      </w:r>
      <w:r>
        <w:rPr>
          <w:rFonts w:ascii="Times New Roman" w:eastAsia="宋体" w:hAnsi="Times New Roman" w:cs="Times New Roman" w:hint="eastAsia"/>
          <w:sz w:val="20"/>
          <w:szCs w:val="20"/>
        </w:rPr>
        <w:t xml:space="preserve"> measurements and handover</w:t>
      </w:r>
      <w:r>
        <w:rPr>
          <w:rFonts w:ascii="Times New Roman" w:eastAsia="宋体" w:hAnsi="Times New Roman" w:cs="Times New Roman"/>
          <w:sz w:val="20"/>
          <w:szCs w:val="20"/>
        </w:rPr>
        <w:t xml:space="preserve"> can be achieved. Comparing to the Option-2, following issues are needed to be discussed:</w:t>
      </w:r>
    </w:p>
    <w:p w14:paraId="3F270CF1" w14:textId="77777777" w:rsidR="0020031B" w:rsidRDefault="00BA3E1C">
      <w:pPr>
        <w:pStyle w:val="ac"/>
        <w:numPr>
          <w:ilvl w:val="0"/>
          <w:numId w:val="10"/>
        </w:numPr>
        <w:spacing w:after="120"/>
        <w:ind w:firstLineChars="0"/>
        <w:rPr>
          <w:rFonts w:ascii="Times New Roman" w:eastAsia="宋体" w:hAnsi="Times New Roman" w:cs="Times New Roman"/>
          <w:sz w:val="20"/>
          <w:szCs w:val="20"/>
        </w:rPr>
      </w:pPr>
      <w:r>
        <w:rPr>
          <w:rFonts w:ascii="Times New Roman" w:eastAsia="宋体" w:hAnsi="Times New Roman" w:cs="Times New Roman"/>
          <w:sz w:val="20"/>
          <w:szCs w:val="20"/>
        </w:rPr>
        <w:t>Accuracy for the prediction: The satellite ephemeris informatio</w:t>
      </w:r>
      <w:r>
        <w:rPr>
          <w:rFonts w:ascii="Times New Roman" w:eastAsia="宋体" w:hAnsi="Times New Roman" w:cs="Times New Roman"/>
          <w:sz w:val="20"/>
          <w:szCs w:val="20"/>
        </w:rPr>
        <w:t>n is mainly used to define the long term trajectory of satellite. Without the detailed information on other information</w:t>
      </w:r>
      <w:r>
        <w:rPr>
          <w:rFonts w:ascii="Times New Roman" w:eastAsia="宋体" w:hAnsi="Times New Roman" w:cs="Times New Roman" w:hint="eastAsia"/>
          <w:sz w:val="20"/>
          <w:szCs w:val="20"/>
        </w:rPr>
        <w:t>,</w:t>
      </w:r>
      <w:r>
        <w:rPr>
          <w:rFonts w:ascii="Times New Roman" w:eastAsia="宋体" w:hAnsi="Times New Roman" w:cs="Times New Roman"/>
          <w:sz w:val="20"/>
          <w:szCs w:val="20"/>
        </w:rPr>
        <w:t xml:space="preserve"> e.g., the perturbation and modelling accuracy, the accuracy for prediction will be impacted. In Option-2, although such PV (T) can also</w:t>
      </w:r>
      <w:r>
        <w:rPr>
          <w:rFonts w:ascii="Times New Roman" w:eastAsia="宋体" w:hAnsi="Times New Roman" w:cs="Times New Roman"/>
          <w:sz w:val="20"/>
          <w:szCs w:val="20"/>
        </w:rPr>
        <w:t xml:space="preserve"> be derived from satellite ephemeris, with updates on the instant information, the prediction within certain duration can be kept. W.r.t the signalling overhead for updates, limited cost can be achieved since the information for serving satellite is needed</w:t>
      </w:r>
      <w:r>
        <w:rPr>
          <w:rFonts w:ascii="Times New Roman" w:eastAsia="宋体" w:hAnsi="Times New Roman" w:cs="Times New Roman"/>
          <w:sz w:val="20"/>
          <w:szCs w:val="20"/>
        </w:rPr>
        <w:t>.</w:t>
      </w:r>
    </w:p>
    <w:p w14:paraId="58284FCB" w14:textId="77777777" w:rsidR="0020031B" w:rsidRDefault="00BA3E1C">
      <w:pPr>
        <w:pStyle w:val="ac"/>
        <w:numPr>
          <w:ilvl w:val="0"/>
          <w:numId w:val="10"/>
        </w:numPr>
        <w:spacing w:after="120"/>
        <w:ind w:firstLineChars="0"/>
        <w:rPr>
          <w:rFonts w:ascii="Times New Roman" w:eastAsia="宋体" w:hAnsi="Times New Roman" w:cs="Times New Roman"/>
          <w:sz w:val="20"/>
          <w:szCs w:val="20"/>
        </w:rPr>
      </w:pPr>
      <w:r>
        <w:rPr>
          <w:rFonts w:ascii="Times New Roman" w:eastAsia="宋体" w:hAnsi="Times New Roman" w:cs="Times New Roman"/>
          <w:sz w:val="20"/>
          <w:szCs w:val="20"/>
        </w:rPr>
        <w:t xml:space="preserve">Compatibility for other scenarios: From signalling perspective, the indication of ephemeris in Option-1 is conducted with dedicated parameter set, e.g., orbit plane inclination as illustration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_Ref23011 \n \h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rPr>
          <w:rFonts w:ascii="Times New Roman" w:eastAsia="宋体" w:hAnsi="Times New Roman" w:cs="Times New Roman"/>
          <w:sz w:val="20"/>
          <w:szCs w:val="20"/>
        </w:rPr>
        <w:t>[5]</w:t>
      </w:r>
      <w:r>
        <w:rPr>
          <w:rFonts w:ascii="Times New Roman" w:eastAsia="宋体" w:hAnsi="Times New Roman" w:cs="Times New Roman"/>
          <w:sz w:val="20"/>
          <w:szCs w:val="20"/>
        </w:rPr>
        <w:fldChar w:fldCharType="end"/>
      </w:r>
      <w:r>
        <w:rPr>
          <w:rFonts w:ascii="Times New Roman" w:eastAsia="宋体" w:hAnsi="Times New Roman" w:cs="Times New Roman"/>
          <w:sz w:val="20"/>
          <w:szCs w:val="20"/>
        </w:rPr>
        <w:t>. Such design is unavailable to support other scenarios, e.g., HAPS</w:t>
      </w:r>
      <w:r>
        <w:rPr>
          <w:rFonts w:ascii="Times New Roman" w:eastAsia="宋体" w:hAnsi="Times New Roman" w:cs="Times New Roman" w:hint="eastAsia"/>
          <w:sz w:val="20"/>
          <w:szCs w:val="20"/>
        </w:rPr>
        <w:t>/</w:t>
      </w:r>
      <w:r>
        <w:rPr>
          <w:rFonts w:ascii="Times New Roman" w:eastAsia="宋体" w:hAnsi="Times New Roman" w:cs="Times New Roman"/>
          <w:sz w:val="20"/>
          <w:szCs w:val="20"/>
        </w:rPr>
        <w:t>ATG, since the movement of such platform or position will not follow the parameterized indication instead of directly indication of PV (T).</w:t>
      </w:r>
    </w:p>
    <w:p w14:paraId="1D89FB36" w14:textId="77777777" w:rsidR="0020031B" w:rsidRDefault="00BA3E1C">
      <w:pPr>
        <w:ind w:leftChars="200" w:left="440"/>
        <w:jc w:val="both"/>
        <w:rPr>
          <w:rFonts w:ascii="Times New Roman" w:eastAsia="宋体" w:hAnsi="Times New Roman" w:cs="Times New Roman"/>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7</w:t>
      </w:r>
      <w:r>
        <w:rPr>
          <w:rFonts w:ascii="Times New Roman" w:eastAsia="宋体" w:hAnsi="Times New Roman" w:hint="eastAsia"/>
          <w:b/>
          <w:i/>
          <w:sz w:val="20"/>
          <w:szCs w:val="20"/>
        </w:rPr>
        <w:t xml:space="preserve">: </w:t>
      </w:r>
      <w:r>
        <w:rPr>
          <w:rFonts w:ascii="Times New Roman" w:eastAsia="宋体" w:hAnsi="Times New Roman" w:hint="eastAsia"/>
          <w:i/>
          <w:sz w:val="20"/>
          <w:szCs w:val="20"/>
        </w:rPr>
        <w:t>Epheme</w:t>
      </w:r>
      <w:r>
        <w:rPr>
          <w:rFonts w:ascii="Times New Roman" w:eastAsia="宋体" w:hAnsi="Times New Roman" w:hint="eastAsia"/>
          <w:i/>
          <w:sz w:val="20"/>
          <w:szCs w:val="20"/>
        </w:rPr>
        <w:t>ris format based on instant state vectors with implicit time should be at least supported with the consideration of ATG/HAPS scenarios.</w:t>
      </w:r>
    </w:p>
    <w:p w14:paraId="5176FFA3" w14:textId="77777777" w:rsidR="0020031B" w:rsidRDefault="00BA3E1C">
      <w:pPr>
        <w:pStyle w:val="1"/>
        <w:keepNext w:val="0"/>
        <w:keepLines w:val="0"/>
        <w:widowControl w:val="0"/>
        <w:numPr>
          <w:ilvl w:val="0"/>
          <w:numId w:val="4"/>
        </w:numPr>
        <w:pBdr>
          <w:top w:val="none" w:sz="0" w:space="0" w:color="auto"/>
        </w:pBdr>
        <w:tabs>
          <w:tab w:val="left" w:pos="432"/>
        </w:tabs>
        <w:overflowPunct/>
        <w:snapToGrid w:val="0"/>
        <w:spacing w:beforeLines="50" w:before="120" w:afterLines="50" w:after="120"/>
        <w:ind w:left="431" w:hanging="431"/>
        <w:textAlignment w:val="auto"/>
        <w:rPr>
          <w:rFonts w:ascii="Times New Roman" w:eastAsia="黑体" w:hAnsi="Times New Roman" w:cs="Times New Roman"/>
          <w:b/>
          <w:bCs/>
          <w:sz w:val="28"/>
          <w:szCs w:val="30"/>
          <w:lang w:val="en-US"/>
        </w:rPr>
      </w:pPr>
      <w:r>
        <w:rPr>
          <w:rFonts w:ascii="Times New Roman" w:eastAsia="黑体" w:hAnsi="Times New Roman" w:cs="Times New Roman" w:hint="eastAsia"/>
          <w:b/>
          <w:bCs/>
          <w:sz w:val="28"/>
          <w:szCs w:val="30"/>
          <w:lang w:val="en-US"/>
        </w:rPr>
        <w:t>Conclusions</w:t>
      </w:r>
    </w:p>
    <w:p w14:paraId="5D39F2D2" w14:textId="77777777" w:rsidR="0020031B" w:rsidRDefault="00BA3E1C">
      <w:pPr>
        <w:pStyle w:val="ac"/>
        <w:spacing w:beforeLines="50" w:before="120" w:afterLines="50" w:after="120" w:line="240" w:lineRule="auto"/>
        <w:ind w:leftChars="200" w:left="440" w:firstLineChars="0" w:firstLine="0"/>
        <w:jc w:val="both"/>
        <w:rPr>
          <w:rFonts w:ascii="Times New Roman" w:eastAsia="宋体" w:hAnsi="Times New Roman" w:cs="Times New Roman"/>
          <w:sz w:val="20"/>
          <w:szCs w:val="20"/>
        </w:rPr>
      </w:pPr>
      <w:r>
        <w:rPr>
          <w:rFonts w:ascii="Times New Roman" w:eastAsia="宋体" w:hAnsi="Times New Roman" w:cs="Times New Roman"/>
          <w:sz w:val="20"/>
          <w:szCs w:val="20"/>
        </w:rPr>
        <w:t xml:space="preserve">In this contribution, detailed analysis on the synchronization related issues for NTN is conducted with </w:t>
      </w:r>
      <w:r>
        <w:rPr>
          <w:rFonts w:ascii="Times New Roman" w:eastAsia="宋体" w:hAnsi="Times New Roman" w:cs="Times New Roman"/>
          <w:sz w:val="20"/>
          <w:szCs w:val="20"/>
        </w:rPr>
        <w:t>following proposal:</w:t>
      </w:r>
    </w:p>
    <w:p w14:paraId="13253DA1" w14:textId="77777777" w:rsidR="0020031B" w:rsidRDefault="00BA3E1C">
      <w:pPr>
        <w:spacing w:beforeLines="50" w:before="120" w:afterLines="50" w:after="120" w:line="240" w:lineRule="auto"/>
        <w:ind w:left="420"/>
        <w:rPr>
          <w:rFonts w:ascii="Times New Roman" w:eastAsia="宋体" w:hAnsi="Times New Roman"/>
          <w:i/>
          <w:sz w:val="20"/>
          <w:szCs w:val="20"/>
        </w:rPr>
      </w:pPr>
      <w:r>
        <w:rPr>
          <w:rFonts w:ascii="Times New Roman" w:eastAsia="宋体" w:hAnsi="Times New Roman"/>
          <w:b/>
          <w:i/>
          <w:sz w:val="20"/>
          <w:szCs w:val="20"/>
        </w:rPr>
        <w:t>Observation</w:t>
      </w:r>
      <w:r>
        <w:rPr>
          <w:rFonts w:ascii="Times New Roman" w:eastAsia="宋体" w:hAnsi="Times New Roman" w:hint="eastAsia"/>
          <w:b/>
          <w:i/>
          <w:sz w:val="20"/>
          <w:szCs w:val="20"/>
        </w:rPr>
        <w:t xml:space="preserve"> 1: </w:t>
      </w:r>
      <w:r>
        <w:rPr>
          <w:rFonts w:ascii="Times New Roman" w:eastAsia="宋体" w:hAnsi="Times New Roman" w:hint="eastAsia"/>
          <w:i/>
          <w:sz w:val="20"/>
          <w:szCs w:val="20"/>
        </w:rPr>
        <w:t>When the basic accuracy requirements for autonomous pre-compensation is satisfied, the interference caused by TA uncertainty is limited.</w:t>
      </w:r>
    </w:p>
    <w:p w14:paraId="16BA0D14"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1</w:t>
      </w:r>
      <w:r>
        <w:rPr>
          <w:rFonts w:ascii="Times New Roman" w:eastAsia="宋体" w:hAnsi="Times New Roman" w:hint="eastAsia"/>
          <w:b/>
          <w:i/>
          <w:sz w:val="20"/>
          <w:szCs w:val="20"/>
        </w:rPr>
        <w:t xml:space="preserve">: </w:t>
      </w:r>
      <w:r>
        <w:rPr>
          <w:rFonts w:ascii="Times New Roman" w:eastAsia="宋体" w:hAnsi="Times New Roman" w:hint="eastAsia"/>
          <w:i/>
          <w:sz w:val="20"/>
          <w:szCs w:val="20"/>
        </w:rPr>
        <w:t>The common timing offset value should be indicated as a TA and broadcast</w:t>
      </w:r>
      <w:r>
        <w:rPr>
          <w:rFonts w:ascii="Times New Roman" w:eastAsia="宋体" w:hAnsi="Times New Roman" w:hint="eastAsia"/>
          <w:i/>
          <w:sz w:val="20"/>
          <w:szCs w:val="20"/>
        </w:rPr>
        <w:t xml:space="preserve"> in SIB.</w:t>
      </w:r>
    </w:p>
    <w:p w14:paraId="7A946598"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lastRenderedPageBreak/>
        <w:t>Proposal</w:t>
      </w:r>
      <w:r>
        <w:rPr>
          <w:rFonts w:ascii="Times New Roman" w:eastAsia="宋体" w:hAnsi="Times New Roman" w:hint="eastAsia"/>
          <w:b/>
          <w:i/>
          <w:sz w:val="20"/>
          <w:szCs w:val="20"/>
        </w:rPr>
        <w:t xml:space="preserve"> 2: </w:t>
      </w:r>
      <w:r>
        <w:rPr>
          <w:rFonts w:ascii="Times New Roman" w:eastAsia="宋体" w:hAnsi="Times New Roman" w:hint="eastAsia"/>
          <w:i/>
          <w:sz w:val="20"/>
          <w:szCs w:val="20"/>
        </w:rPr>
        <w:t xml:space="preserve">The unit of indicated common TA can be chosen </w:t>
      </w:r>
      <w:r>
        <w:rPr>
          <w:rFonts w:ascii="Times New Roman" w:eastAsia="宋体" w:hAnsi="Times New Roman"/>
          <w:i/>
          <w:sz w:val="20"/>
          <w:szCs w:val="20"/>
        </w:rPr>
        <w:t>as</w:t>
      </w:r>
      <w:r>
        <w:rPr>
          <w:rFonts w:ascii="Times New Roman" w:eastAsia="宋体" w:hAnsi="Times New Roman" w:hint="eastAsia"/>
          <w:i/>
          <w:sz w:val="20"/>
          <w:szCs w:val="20"/>
        </w:rPr>
        <w:t xml:space="preserve"> </w:t>
      </w:r>
      <w:r>
        <w:rPr>
          <w:rFonts w:ascii="Times New Roman" w:eastAsia="宋体" w:hAnsi="Times New Roman" w:hint="eastAsia"/>
          <w:i/>
          <w:position w:val="-12"/>
          <w:sz w:val="20"/>
          <w:szCs w:val="20"/>
        </w:rPr>
        <w:object w:dxaOrig="1185" w:dyaOrig="343" w14:anchorId="204B8D52">
          <v:shape id="_x0000_i1048" type="#_x0000_t75" style="width:59.5pt;height:16.9pt" o:ole="">
            <v:imagedata r:id="rId16" o:title=""/>
          </v:shape>
          <o:OLEObject Type="Embed" ProgID="Equation.KSEE3" ShapeID="_x0000_i1048" DrawAspect="Content" ObjectID="_1672470281" r:id="rId33"/>
        </w:object>
      </w:r>
      <w:r>
        <w:rPr>
          <w:rFonts w:ascii="Times New Roman" w:eastAsia="宋体" w:hAnsi="Times New Roman"/>
          <w:i/>
          <w:sz w:val="20"/>
          <w:szCs w:val="20"/>
        </w:rPr>
        <w:t>.</w:t>
      </w:r>
    </w:p>
    <w:p w14:paraId="7DF5A271"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3: </w:t>
      </w:r>
      <w:r>
        <w:rPr>
          <w:rFonts w:ascii="Times New Roman" w:eastAsia="宋体" w:hAnsi="Times New Roman" w:hint="eastAsia"/>
          <w:i/>
          <w:sz w:val="20"/>
          <w:szCs w:val="20"/>
        </w:rPr>
        <w:t>Indication of common timing drift rate should be supported to assist TA adjustment.</w:t>
      </w:r>
    </w:p>
    <w:p w14:paraId="5365BE03"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4: </w:t>
      </w:r>
      <w:r>
        <w:rPr>
          <w:rFonts w:ascii="Times New Roman" w:eastAsia="宋体" w:hAnsi="Times New Roman" w:hint="eastAsia"/>
          <w:i/>
          <w:sz w:val="20"/>
          <w:szCs w:val="20"/>
        </w:rPr>
        <w:t xml:space="preserve">The maximum TA uncertainty should be absorbed in </w:t>
      </w:r>
      <w:r>
        <w:rPr>
          <w:rFonts w:ascii="Times New Roman" w:eastAsia="宋体" w:hAnsi="Times New Roman" w:hint="eastAsia"/>
          <w:i/>
          <w:sz w:val="20"/>
          <w:szCs w:val="20"/>
        </w:rPr>
        <w:t>common TA configuration to save signaling.</w:t>
      </w:r>
    </w:p>
    <w:p w14:paraId="013767C3" w14:textId="77777777" w:rsidR="0020031B" w:rsidRDefault="00BA3E1C">
      <w:pPr>
        <w:ind w:leftChars="200" w:left="440"/>
        <w:jc w:val="both"/>
        <w:rPr>
          <w:rFonts w:ascii="Times New Roman" w:eastAsia="宋体" w:hAnsi="Times New Roman" w:cs="Times New Roman"/>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5: </w:t>
      </w:r>
      <w:r>
        <w:rPr>
          <w:rFonts w:ascii="Times New Roman" w:eastAsia="宋体" w:hAnsi="Times New Roman" w:hint="eastAsia"/>
          <w:i/>
          <w:sz w:val="20"/>
          <w:szCs w:val="20"/>
        </w:rPr>
        <w:t>Combined open and closed-loop method should be applied for TA maintenance in connected mode.</w:t>
      </w:r>
    </w:p>
    <w:p w14:paraId="4594622E" w14:textId="77777777" w:rsidR="0020031B" w:rsidRDefault="00BA3E1C">
      <w:pPr>
        <w:ind w:leftChars="200" w:left="440"/>
        <w:jc w:val="both"/>
        <w:rPr>
          <w:rFonts w:ascii="Times New Roman" w:eastAsia="宋体" w:hAnsi="Times New Roman"/>
          <w:i/>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6: </w:t>
      </w:r>
      <w:r>
        <w:rPr>
          <w:rFonts w:ascii="Times New Roman" w:eastAsia="宋体" w:hAnsi="Times New Roman" w:hint="eastAsia"/>
          <w:i/>
          <w:sz w:val="20"/>
          <w:szCs w:val="20"/>
        </w:rPr>
        <w:t>In connected mode, TA value should be update as follows:</w:t>
      </w:r>
    </w:p>
    <w:p w14:paraId="68875D58" w14:textId="77777777" w:rsidR="0020031B" w:rsidRDefault="00BA3E1C">
      <w:pPr>
        <w:pStyle w:val="ac"/>
        <w:ind w:left="420" w:firstLineChars="0" w:firstLine="0"/>
        <w:rPr>
          <w:rFonts w:ascii="Times New Roman" w:eastAsia="宋体" w:hAnsi="Times New Roman" w:cs="Times New Roman"/>
          <w:sz w:val="20"/>
          <w:szCs w:val="20"/>
        </w:rPr>
      </w:pPr>
      <w:r>
        <w:rPr>
          <w:rFonts w:ascii="Times New Roman" w:eastAsia="宋体" w:hAnsi="Times New Roman" w:cs="Times New Roman"/>
          <w:position w:val="-36"/>
          <w:sz w:val="20"/>
          <w:szCs w:val="20"/>
        </w:rPr>
        <w:object w:dxaOrig="8585" w:dyaOrig="842" w14:anchorId="1437ED03">
          <v:shape id="_x0000_i1049" type="#_x0000_t75" style="width:429.5pt;height:41.95pt" o:ole="">
            <v:imagedata r:id="rId25" o:title=""/>
          </v:shape>
          <o:OLEObject Type="Embed" ProgID="Equation.KSEE3" ShapeID="_x0000_i1049" DrawAspect="Content" ObjectID="_1672470282" r:id="rId34"/>
        </w:object>
      </w:r>
    </w:p>
    <w:p w14:paraId="603006AE" w14:textId="77777777" w:rsidR="0020031B" w:rsidRDefault="00BA3E1C">
      <w:pPr>
        <w:pStyle w:val="ac"/>
        <w:ind w:left="420" w:firstLineChars="0" w:firstLine="0"/>
        <w:rPr>
          <w:rFonts w:ascii="Times New Roman" w:eastAsia="宋体" w:hAnsi="Times New Roman" w:cs="Times New Roman"/>
          <w:i/>
          <w:iCs/>
          <w:sz w:val="20"/>
          <w:szCs w:val="20"/>
        </w:rPr>
      </w:pPr>
      <w:r>
        <w:rPr>
          <w:rFonts w:ascii="Times New Roman" w:eastAsia="宋体" w:hAnsi="Times New Roman" w:cs="Times New Roman" w:hint="eastAsia"/>
          <w:i/>
          <w:iCs/>
          <w:sz w:val="20"/>
          <w:szCs w:val="20"/>
        </w:rPr>
        <w:t>where</w:t>
      </w:r>
    </w:p>
    <w:p w14:paraId="2D7D3966" w14:textId="77777777" w:rsidR="0020031B" w:rsidRDefault="00BA3E1C">
      <w:pPr>
        <w:numPr>
          <w:ilvl w:val="0"/>
          <w:numId w:val="5"/>
        </w:numPr>
        <w:spacing w:after="0" w:line="240" w:lineRule="auto"/>
        <w:ind w:left="726" w:hanging="363"/>
        <w:rPr>
          <w:rFonts w:ascii="Times New Roman" w:eastAsia="宋体" w:hAnsi="Times New Roman" w:cs="Times New Roman"/>
          <w:i/>
          <w:iCs/>
          <w:sz w:val="20"/>
          <w:szCs w:val="20"/>
        </w:rPr>
      </w:pPr>
      <w:r>
        <w:rPr>
          <w:rFonts w:ascii="Times New Roman" w:hAnsi="Times New Roman" w:cs="Times New Roman" w:hint="eastAsia"/>
          <w:i/>
          <w:iCs/>
          <w:position w:val="-14"/>
          <w:sz w:val="20"/>
          <w:szCs w:val="20"/>
        </w:rPr>
        <w:object w:dxaOrig="720" w:dyaOrig="377" w14:anchorId="13A96527">
          <v:shape id="_x0000_i1050" type="#_x0000_t75" style="width:36.3pt;height:18.8pt" o:ole="">
            <v:imagedata r:id="rId27" o:title=""/>
          </v:shape>
          <o:OLEObject Type="Embed" ProgID="Equation.KSEE3" ShapeID="_x0000_i1050" DrawAspect="Content" ObjectID="_1672470283" r:id="rId35"/>
        </w:object>
      </w:r>
      <w:r>
        <w:rPr>
          <w:rFonts w:ascii="Times New Roman" w:hAnsi="Times New Roman" w:cs="Times New Roman" w:hint="eastAsia"/>
          <w:i/>
          <w:iCs/>
          <w:sz w:val="20"/>
          <w:szCs w:val="20"/>
        </w:rPr>
        <w:t xml:space="preserve"> is original TA, which refers to the value </w:t>
      </w:r>
      <w:r>
        <w:rPr>
          <w:rFonts w:ascii="Times New Roman" w:hAnsi="Times New Roman" w:cs="Times New Roman"/>
          <w:i/>
          <w:iCs/>
          <w:sz w:val="20"/>
          <w:szCs w:val="20"/>
        </w:rPr>
        <w:t>applied for the latest UL transmission.</w:t>
      </w:r>
    </w:p>
    <w:p w14:paraId="0BD8FA55" w14:textId="77777777" w:rsidR="0020031B" w:rsidRDefault="00BA3E1C">
      <w:pPr>
        <w:pStyle w:val="ac"/>
        <w:numPr>
          <w:ilvl w:val="0"/>
          <w:numId w:val="5"/>
        </w:numPr>
        <w:spacing w:after="0" w:line="240" w:lineRule="auto"/>
        <w:ind w:left="726" w:firstLineChars="0" w:hanging="363"/>
        <w:rPr>
          <w:rFonts w:ascii="Times New Roman" w:eastAsia="宋体" w:hAnsi="Times New Roman" w:cs="Times New Roman"/>
          <w:i/>
          <w:iCs/>
          <w:sz w:val="20"/>
          <w:szCs w:val="20"/>
        </w:rPr>
      </w:pPr>
      <m:oMath>
        <m:sSub>
          <m:sSubPr>
            <m:ctrlPr>
              <w:rPr>
                <w:rFonts w:ascii="Cambria Math" w:hAnsi="Cambria Math"/>
                <w:kern w:val="2"/>
                <w:sz w:val="21"/>
              </w:rPr>
            </m:ctrlPr>
          </m:sSubPr>
          <m:e>
            <m:r>
              <w:rPr>
                <w:rFonts w:ascii="Cambria Math" w:hAnsi="Cambria Math"/>
              </w:rPr>
              <m:t>N</m:t>
            </m:r>
          </m:e>
          <m:sub>
            <m:r>
              <w:rPr>
                <w:rFonts w:ascii="Cambria Math" w:hAnsi="Cambria Math"/>
              </w:rPr>
              <m:t>TA</m:t>
            </m:r>
            <m:r>
              <w:rPr>
                <w:rFonts w:ascii="Cambria Math" w:hAnsi="Cambria Math"/>
              </w:rPr>
              <m:t>_</m:t>
            </m:r>
            <m:r>
              <w:rPr>
                <w:rFonts w:ascii="Cambria Math" w:hAnsi="Cambria Math"/>
              </w:rPr>
              <m:t>open</m:t>
            </m:r>
          </m:sub>
        </m:sSub>
      </m:oMath>
      <w:r>
        <w:rPr>
          <w:rFonts w:hint="eastAsia"/>
          <w:kern w:val="2"/>
          <w:sz w:val="21"/>
        </w:rPr>
        <w:t xml:space="preserve"> </w:t>
      </w:r>
      <w:r>
        <w:rPr>
          <w:rFonts w:ascii="Times New Roman" w:eastAsia="宋体" w:hAnsi="Times New Roman" w:cs="Times New Roman" w:hint="eastAsia"/>
          <w:i/>
          <w:iCs/>
          <w:sz w:val="20"/>
          <w:szCs w:val="20"/>
        </w:rPr>
        <w:t>is the</w:t>
      </w:r>
      <w:r>
        <w:rPr>
          <w:rFonts w:ascii="Times New Roman" w:eastAsia="宋体" w:hAnsi="Times New Roman" w:cs="Times New Roman"/>
          <w:i/>
          <w:iCs/>
          <w:sz w:val="20"/>
          <w:szCs w:val="20"/>
        </w:rPr>
        <w:t xml:space="preserve"> TA adjustment value due the</w:t>
      </w:r>
      <w:r>
        <w:rPr>
          <w:rFonts w:ascii="Times New Roman" w:eastAsia="宋体" w:hAnsi="Times New Roman" w:cs="Times New Roman" w:hint="eastAsia"/>
          <w:i/>
          <w:iCs/>
          <w:sz w:val="20"/>
          <w:szCs w:val="20"/>
        </w:rPr>
        <w:t xml:space="preserve"> open-loop </w:t>
      </w:r>
      <w:r>
        <w:rPr>
          <w:rFonts w:ascii="Times New Roman" w:eastAsia="宋体" w:hAnsi="Times New Roman" w:cs="Times New Roman"/>
          <w:i/>
          <w:iCs/>
          <w:sz w:val="20"/>
          <w:szCs w:val="20"/>
        </w:rPr>
        <w:t xml:space="preserve">processing including variation of TA for service and feeder link based on the GNSS and </w:t>
      </w:r>
      <w:r>
        <w:rPr>
          <w:rFonts w:ascii="Times New Roman" w:eastAsia="宋体" w:hAnsi="Times New Roman" w:cs="Times New Roman"/>
          <w:i/>
          <w:iCs/>
          <w:sz w:val="20"/>
          <w:szCs w:val="20"/>
        </w:rPr>
        <w:t>indicated information.</w:t>
      </w:r>
    </w:p>
    <w:p w14:paraId="352E411E" w14:textId="77777777" w:rsidR="0020031B" w:rsidRDefault="00BA3E1C">
      <w:pPr>
        <w:numPr>
          <w:ilvl w:val="0"/>
          <w:numId w:val="5"/>
        </w:numPr>
        <w:spacing w:after="0" w:line="240" w:lineRule="auto"/>
        <w:ind w:left="726" w:hanging="363"/>
        <w:rPr>
          <w:rFonts w:ascii="Times New Roman" w:eastAsia="宋体" w:hAnsi="Times New Roman" w:cs="Times New Roman"/>
          <w:i/>
          <w:iCs/>
          <w:sz w:val="20"/>
          <w:szCs w:val="20"/>
        </w:rPr>
      </w:pPr>
      <w:r>
        <w:rPr>
          <w:rFonts w:ascii="Times New Roman" w:eastAsia="宋体" w:hAnsi="Times New Roman" w:cs="Times New Roman"/>
          <w:i/>
          <w:iCs/>
          <w:position w:val="-10"/>
          <w:sz w:val="20"/>
          <w:szCs w:val="20"/>
        </w:rPr>
        <w:object w:dxaOrig="1927" w:dyaOrig="354" w14:anchorId="45387C62">
          <v:shape id="_x0000_i1051" type="#_x0000_t75" style="width:96.4pt;height:17.55pt" o:ole="">
            <v:imagedata r:id="rId29" o:title=""/>
          </v:shape>
          <o:OLEObject Type="Embed" ProgID="Equation.KSEE3" ShapeID="_x0000_i1051" DrawAspect="Content" ObjectID="_1672470284" r:id="rId36"/>
        </w:object>
      </w:r>
      <w:r>
        <w:rPr>
          <w:rFonts w:ascii="Times New Roman" w:eastAsia="宋体" w:hAnsi="Times New Roman" w:cs="Times New Roman" w:hint="eastAsia"/>
          <w:i/>
          <w:iCs/>
          <w:sz w:val="20"/>
          <w:szCs w:val="20"/>
        </w:rPr>
        <w:t xml:space="preserve"> is the TA command based closed-loop adjustment, where </w:t>
      </w:r>
      <w:r>
        <w:rPr>
          <w:rFonts w:ascii="Times New Roman" w:eastAsia="宋体" w:hAnsi="Times New Roman" w:cs="Times New Roman" w:hint="eastAsia"/>
          <w:i/>
          <w:iCs/>
          <w:position w:val="-10"/>
          <w:sz w:val="20"/>
          <w:szCs w:val="20"/>
        </w:rPr>
        <w:object w:dxaOrig="1518" w:dyaOrig="310" w14:anchorId="19051042">
          <v:shape id="_x0000_i1052" type="#_x0000_t75" style="width:75.75pt;height:15.65pt" o:ole="">
            <v:imagedata r:id="rId31" o:title=""/>
          </v:shape>
          <o:OLEObject Type="Embed" ProgID="Equation.KSEE3" ShapeID="_x0000_i1052" DrawAspect="Content" ObjectID="_1672470285" r:id="rId37"/>
        </w:object>
      </w:r>
      <w:r>
        <w:rPr>
          <w:rFonts w:ascii="Times New Roman" w:eastAsia="宋体" w:hAnsi="Times New Roman" w:cs="Times New Roman" w:hint="eastAsia"/>
          <w:i/>
          <w:iCs/>
          <w:sz w:val="20"/>
          <w:szCs w:val="20"/>
        </w:rPr>
        <w:t xml:space="preserve"> is indicated in MAC CE TA command.</w:t>
      </w:r>
    </w:p>
    <w:p w14:paraId="2171FD31" w14:textId="77777777" w:rsidR="0020031B" w:rsidRDefault="00BA3E1C">
      <w:pPr>
        <w:spacing w:beforeLines="50" w:before="120" w:line="240" w:lineRule="auto"/>
        <w:ind w:leftChars="200" w:left="440"/>
        <w:jc w:val="both"/>
        <w:rPr>
          <w:rFonts w:ascii="Times New Roman" w:eastAsia="宋体" w:hAnsi="Times New Roman" w:cs="Times New Roman"/>
          <w:sz w:val="20"/>
          <w:szCs w:val="20"/>
        </w:rPr>
      </w:pPr>
      <w:r>
        <w:rPr>
          <w:rFonts w:ascii="Times New Roman" w:eastAsia="宋体" w:hAnsi="Times New Roman"/>
          <w:b/>
          <w:i/>
          <w:sz w:val="20"/>
          <w:szCs w:val="20"/>
        </w:rPr>
        <w:t>Proposal</w:t>
      </w:r>
      <w:r>
        <w:rPr>
          <w:rFonts w:ascii="Times New Roman" w:eastAsia="宋体" w:hAnsi="Times New Roman" w:hint="eastAsia"/>
          <w:b/>
          <w:i/>
          <w:sz w:val="20"/>
          <w:szCs w:val="20"/>
        </w:rPr>
        <w:t xml:space="preserve"> </w:t>
      </w:r>
      <w:r>
        <w:rPr>
          <w:rFonts w:ascii="Times New Roman" w:eastAsia="宋体" w:hAnsi="Times New Roman"/>
          <w:b/>
          <w:i/>
          <w:sz w:val="20"/>
          <w:szCs w:val="20"/>
        </w:rPr>
        <w:t>7</w:t>
      </w:r>
      <w:r>
        <w:rPr>
          <w:rFonts w:ascii="Times New Roman" w:eastAsia="宋体" w:hAnsi="Times New Roman" w:hint="eastAsia"/>
          <w:b/>
          <w:i/>
          <w:sz w:val="20"/>
          <w:szCs w:val="20"/>
        </w:rPr>
        <w:t xml:space="preserve">: </w:t>
      </w:r>
      <w:r>
        <w:rPr>
          <w:rFonts w:ascii="Times New Roman" w:eastAsia="宋体" w:hAnsi="Times New Roman" w:hint="eastAsia"/>
          <w:i/>
          <w:sz w:val="20"/>
          <w:szCs w:val="20"/>
        </w:rPr>
        <w:t xml:space="preserve">Ephemeris format based on instant state vectors with implicit time should be </w:t>
      </w:r>
      <w:r>
        <w:rPr>
          <w:rFonts w:ascii="Times New Roman" w:eastAsia="宋体" w:hAnsi="Times New Roman" w:hint="eastAsia"/>
          <w:i/>
          <w:sz w:val="20"/>
          <w:szCs w:val="20"/>
        </w:rPr>
        <w:t>at least supported with the consideration of ATG/HAPS scenarios.</w:t>
      </w:r>
    </w:p>
    <w:p w14:paraId="2D0AF6AD" w14:textId="77777777" w:rsidR="0020031B" w:rsidRDefault="00BA3E1C">
      <w:pPr>
        <w:pStyle w:val="1"/>
        <w:keepNext w:val="0"/>
        <w:keepLines w:val="0"/>
        <w:widowControl w:val="0"/>
        <w:numPr>
          <w:ilvl w:val="0"/>
          <w:numId w:val="0"/>
        </w:numPr>
        <w:pBdr>
          <w:top w:val="none" w:sz="0" w:space="0" w:color="auto"/>
        </w:pBdr>
        <w:tabs>
          <w:tab w:val="left" w:pos="432"/>
        </w:tabs>
        <w:overflowPunct/>
        <w:snapToGrid w:val="0"/>
        <w:spacing w:beforeLines="50" w:before="120" w:afterLines="50" w:after="120"/>
        <w:ind w:left="432" w:hanging="432"/>
        <w:textAlignment w:val="auto"/>
        <w:rPr>
          <w:rFonts w:eastAsia="黑体" w:cs="Times New Roman"/>
          <w:b/>
          <w:bCs/>
          <w:sz w:val="28"/>
          <w:szCs w:val="30"/>
          <w:lang w:val="en-US"/>
        </w:rPr>
      </w:pPr>
      <w:r>
        <w:rPr>
          <w:rFonts w:eastAsia="黑体" w:cs="Times New Roman" w:hint="eastAsia"/>
          <w:b/>
          <w:bCs/>
          <w:sz w:val="28"/>
          <w:szCs w:val="30"/>
          <w:lang w:val="en-US"/>
        </w:rPr>
        <w:t>Reference</w:t>
      </w:r>
    </w:p>
    <w:p w14:paraId="18A61554" w14:textId="77777777" w:rsidR="0020031B" w:rsidRDefault="00BA3E1C">
      <w:pPr>
        <w:pStyle w:val="ListParagraph1"/>
        <w:numPr>
          <w:ilvl w:val="0"/>
          <w:numId w:val="11"/>
        </w:numPr>
        <w:spacing w:after="0" w:line="240" w:lineRule="auto"/>
        <w:ind w:left="505" w:hanging="505"/>
        <w:rPr>
          <w:rFonts w:ascii="Times New Roman" w:hAnsi="Times New Roman"/>
          <w:sz w:val="20"/>
          <w:szCs w:val="20"/>
        </w:rPr>
      </w:pPr>
      <w:bookmarkStart w:id="8" w:name="_Ref40282619"/>
      <w:r>
        <w:rPr>
          <w:rFonts w:ascii="Times New Roman" w:hAnsi="Times New Roman" w:hint="eastAsia"/>
          <w:sz w:val="20"/>
          <w:szCs w:val="20"/>
        </w:rPr>
        <w:t>R1-2009834 Session notes for 8.4 (Solutions for NR to Support Non-terrestrial Networks (NTN))</w:t>
      </w:r>
      <w:r>
        <w:rPr>
          <w:rFonts w:ascii="Times New Roman" w:hAnsi="Times New Roman"/>
          <w:sz w:val="20"/>
          <w:szCs w:val="20"/>
        </w:rPr>
        <w:t>, RAN</w:t>
      </w:r>
      <w:r>
        <w:rPr>
          <w:rFonts w:ascii="Times New Roman" w:hAnsi="Times New Roman" w:hint="eastAsia"/>
          <w:sz w:val="20"/>
          <w:szCs w:val="20"/>
        </w:rPr>
        <w:t>1</w:t>
      </w:r>
      <w:r>
        <w:rPr>
          <w:rFonts w:ascii="Times New Roman" w:hAnsi="Times New Roman"/>
          <w:sz w:val="20"/>
          <w:szCs w:val="20"/>
        </w:rPr>
        <w:t>#</w:t>
      </w:r>
      <w:bookmarkEnd w:id="8"/>
      <w:r>
        <w:rPr>
          <w:rFonts w:ascii="Times New Roman" w:hAnsi="Times New Roman" w:hint="eastAsia"/>
          <w:sz w:val="20"/>
          <w:szCs w:val="20"/>
        </w:rPr>
        <w:t>103e</w:t>
      </w:r>
    </w:p>
    <w:p w14:paraId="368D001F" w14:textId="77777777" w:rsidR="0020031B" w:rsidRDefault="00BA3E1C">
      <w:pPr>
        <w:pStyle w:val="ListParagraph1"/>
        <w:numPr>
          <w:ilvl w:val="0"/>
          <w:numId w:val="11"/>
        </w:numPr>
        <w:spacing w:after="0" w:line="240" w:lineRule="auto"/>
        <w:ind w:left="505" w:hanging="505"/>
        <w:rPr>
          <w:rFonts w:ascii="Times New Roman" w:hAnsi="Times New Roman"/>
          <w:sz w:val="20"/>
          <w:szCs w:val="20"/>
        </w:rPr>
      </w:pPr>
      <w:bookmarkStart w:id="9" w:name="_Ref32552"/>
      <w:r>
        <w:rPr>
          <w:rFonts w:ascii="Times New Roman" w:hAnsi="Times New Roman" w:hint="eastAsia"/>
          <w:sz w:val="20"/>
          <w:szCs w:val="20"/>
        </w:rPr>
        <w:t>R1-2009733 Feature lead summary#4 on timing relationship enhancements</w:t>
      </w:r>
      <w:r>
        <w:rPr>
          <w:rFonts w:ascii="Times New Roman" w:hAnsi="Times New Roman"/>
          <w:sz w:val="20"/>
          <w:szCs w:val="20"/>
        </w:rPr>
        <w:t>, RAN</w:t>
      </w:r>
      <w:r>
        <w:rPr>
          <w:rFonts w:ascii="Times New Roman" w:hAnsi="Times New Roman" w:hint="eastAsia"/>
          <w:sz w:val="20"/>
          <w:szCs w:val="20"/>
        </w:rPr>
        <w:t>1</w:t>
      </w:r>
      <w:r>
        <w:rPr>
          <w:rFonts w:ascii="Times New Roman" w:hAnsi="Times New Roman"/>
          <w:sz w:val="20"/>
          <w:szCs w:val="20"/>
        </w:rPr>
        <w:t>#</w:t>
      </w:r>
      <w:r>
        <w:rPr>
          <w:rFonts w:ascii="Times New Roman" w:hAnsi="Times New Roman" w:hint="eastAsia"/>
          <w:sz w:val="20"/>
          <w:szCs w:val="20"/>
        </w:rPr>
        <w:t>103e</w:t>
      </w:r>
      <w:bookmarkEnd w:id="9"/>
    </w:p>
    <w:p w14:paraId="5A4A7F79" w14:textId="77777777" w:rsidR="0020031B" w:rsidRDefault="00BA3E1C">
      <w:pPr>
        <w:pStyle w:val="ListParagraph1"/>
        <w:numPr>
          <w:ilvl w:val="0"/>
          <w:numId w:val="11"/>
        </w:numPr>
        <w:spacing w:after="0" w:line="240" w:lineRule="auto"/>
        <w:ind w:left="505" w:hanging="505"/>
        <w:rPr>
          <w:rFonts w:ascii="Times New Roman" w:hAnsi="Times New Roman"/>
          <w:sz w:val="20"/>
          <w:szCs w:val="20"/>
        </w:rPr>
      </w:pPr>
      <w:bookmarkStart w:id="10" w:name="_Ref3130"/>
      <w:r>
        <w:rPr>
          <w:rFonts w:ascii="Times New Roman" w:hAnsi="Times New Roman" w:hint="eastAsia"/>
          <w:sz w:val="20"/>
          <w:szCs w:val="20"/>
        </w:rPr>
        <w:t>R1-2009748 FL Summary on enhancements on UL time and frequency synchronization for NR</w:t>
      </w:r>
      <w:r>
        <w:rPr>
          <w:rFonts w:ascii="Times New Roman" w:hAnsi="Times New Roman"/>
          <w:sz w:val="20"/>
          <w:szCs w:val="20"/>
        </w:rPr>
        <w:t>, RAN</w:t>
      </w:r>
      <w:r>
        <w:rPr>
          <w:rFonts w:ascii="Times New Roman" w:hAnsi="Times New Roman" w:hint="eastAsia"/>
          <w:sz w:val="20"/>
          <w:szCs w:val="20"/>
        </w:rPr>
        <w:t>1</w:t>
      </w:r>
      <w:r>
        <w:rPr>
          <w:rFonts w:ascii="Times New Roman" w:hAnsi="Times New Roman"/>
          <w:sz w:val="20"/>
          <w:szCs w:val="20"/>
        </w:rPr>
        <w:t>#</w:t>
      </w:r>
      <w:r>
        <w:rPr>
          <w:rFonts w:ascii="Times New Roman" w:hAnsi="Times New Roman" w:hint="eastAsia"/>
          <w:sz w:val="20"/>
          <w:szCs w:val="20"/>
        </w:rPr>
        <w:t>103e</w:t>
      </w:r>
      <w:bookmarkEnd w:id="10"/>
    </w:p>
    <w:p w14:paraId="77093978" w14:textId="77777777" w:rsidR="0020031B" w:rsidRDefault="00BA3E1C">
      <w:pPr>
        <w:pStyle w:val="ListParagraph1"/>
        <w:numPr>
          <w:ilvl w:val="0"/>
          <w:numId w:val="11"/>
        </w:numPr>
        <w:spacing w:after="0" w:line="240" w:lineRule="auto"/>
        <w:ind w:left="505" w:hanging="505"/>
        <w:rPr>
          <w:rFonts w:ascii="Times New Roman" w:hAnsi="Times New Roman"/>
          <w:sz w:val="20"/>
          <w:szCs w:val="20"/>
        </w:rPr>
      </w:pPr>
      <w:bookmarkStart w:id="11" w:name="_Ref47518974"/>
      <w:r>
        <w:rPr>
          <w:rFonts w:ascii="Times New Roman" w:hAnsi="Times New Roman"/>
          <w:sz w:val="20"/>
          <w:szCs w:val="20"/>
        </w:rPr>
        <w:t>TR 38.821 Solutions for NR to support non-terrestrial networks (NTN)</w:t>
      </w:r>
      <w:r>
        <w:rPr>
          <w:rFonts w:ascii="Times New Roman" w:hAnsi="Times New Roman" w:hint="eastAsia"/>
          <w:sz w:val="20"/>
          <w:szCs w:val="20"/>
        </w:rPr>
        <w:t>.</w:t>
      </w:r>
      <w:bookmarkEnd w:id="11"/>
    </w:p>
    <w:p w14:paraId="37EE9BBE" w14:textId="77777777" w:rsidR="0020031B" w:rsidRDefault="00BA3E1C">
      <w:pPr>
        <w:pStyle w:val="ListParagraph1"/>
        <w:numPr>
          <w:ilvl w:val="0"/>
          <w:numId w:val="11"/>
        </w:numPr>
        <w:spacing w:after="0" w:line="240" w:lineRule="auto"/>
        <w:ind w:left="505" w:hanging="505"/>
        <w:rPr>
          <w:rFonts w:ascii="Times New Roman" w:hAnsi="Times New Roman"/>
          <w:sz w:val="20"/>
          <w:szCs w:val="20"/>
        </w:rPr>
      </w:pPr>
      <w:bookmarkStart w:id="12" w:name="_Ref23011"/>
      <w:r>
        <w:rPr>
          <w:rFonts w:ascii="Times New Roman" w:hAnsi="Times New Roman" w:hint="eastAsia"/>
          <w:sz w:val="20"/>
          <w:szCs w:val="20"/>
        </w:rPr>
        <w:t>R1-1904765 Considerations on the simulation assumption and methodology for NTN</w:t>
      </w:r>
      <w:r>
        <w:rPr>
          <w:rFonts w:ascii="Times New Roman" w:hAnsi="Times New Roman"/>
          <w:sz w:val="20"/>
          <w:szCs w:val="20"/>
        </w:rPr>
        <w:t>,</w:t>
      </w:r>
      <w:r>
        <w:rPr>
          <w:rFonts w:ascii="Times New Roman" w:hAnsi="Times New Roman" w:hint="eastAsia"/>
          <w:sz w:val="20"/>
          <w:szCs w:val="20"/>
        </w:rPr>
        <w:t>ZTE,</w:t>
      </w:r>
      <w:r>
        <w:rPr>
          <w:rFonts w:ascii="Times New Roman" w:hAnsi="Times New Roman"/>
          <w:sz w:val="20"/>
          <w:szCs w:val="20"/>
        </w:rPr>
        <w:t xml:space="preserve"> </w:t>
      </w:r>
      <w:r>
        <w:rPr>
          <w:rFonts w:ascii="Times New Roman" w:hAnsi="Times New Roman"/>
          <w:sz w:val="20"/>
          <w:szCs w:val="20"/>
        </w:rPr>
        <w:t>RAN</w:t>
      </w:r>
      <w:r>
        <w:rPr>
          <w:rFonts w:ascii="Times New Roman" w:hAnsi="Times New Roman" w:hint="eastAsia"/>
          <w:sz w:val="20"/>
          <w:szCs w:val="20"/>
        </w:rPr>
        <w:t>1</w:t>
      </w:r>
      <w:r>
        <w:rPr>
          <w:rFonts w:ascii="Times New Roman" w:hAnsi="Times New Roman"/>
          <w:sz w:val="20"/>
          <w:szCs w:val="20"/>
        </w:rPr>
        <w:t>#</w:t>
      </w:r>
      <w:r>
        <w:rPr>
          <w:rFonts w:ascii="Times New Roman" w:hAnsi="Times New Roman" w:hint="eastAsia"/>
          <w:sz w:val="20"/>
          <w:szCs w:val="20"/>
        </w:rPr>
        <w:t>96bis</w:t>
      </w:r>
      <w:bookmarkEnd w:id="12"/>
    </w:p>
    <w:p w14:paraId="57D99845" w14:textId="77777777" w:rsidR="0020031B" w:rsidRDefault="00BA3E1C">
      <w:pPr>
        <w:pStyle w:val="1"/>
        <w:keepNext w:val="0"/>
        <w:keepLines w:val="0"/>
        <w:widowControl w:val="0"/>
        <w:numPr>
          <w:ilvl w:val="0"/>
          <w:numId w:val="0"/>
        </w:numPr>
        <w:pBdr>
          <w:top w:val="none" w:sz="0" w:space="0" w:color="auto"/>
        </w:pBdr>
        <w:tabs>
          <w:tab w:val="left" w:pos="432"/>
        </w:tabs>
        <w:overflowPunct/>
        <w:snapToGrid w:val="0"/>
        <w:spacing w:beforeLines="50" w:before="120" w:afterLines="50" w:after="120"/>
        <w:ind w:left="432" w:hanging="432"/>
        <w:textAlignment w:val="auto"/>
        <w:rPr>
          <w:rFonts w:eastAsia="黑体" w:cs="Times New Roman"/>
          <w:b/>
          <w:bCs/>
          <w:sz w:val="28"/>
          <w:szCs w:val="30"/>
          <w:lang w:val="en-US"/>
        </w:rPr>
      </w:pPr>
      <w:r>
        <w:rPr>
          <w:rFonts w:eastAsia="黑体" w:cs="Times New Roman"/>
          <w:b/>
          <w:bCs/>
          <w:sz w:val="28"/>
          <w:szCs w:val="30"/>
          <w:lang w:val="en-US"/>
        </w:rPr>
        <w:t>Appendix</w:t>
      </w:r>
    </w:p>
    <w:p w14:paraId="51B37D83" w14:textId="77777777" w:rsidR="0020031B" w:rsidRDefault="00BA3E1C">
      <w:pPr>
        <w:pStyle w:val="a3"/>
        <w:spacing w:before="240"/>
        <w:rPr>
          <w:rFonts w:eastAsiaTheme="minorEastAsia"/>
          <w:b w:val="0"/>
          <w:lang w:val="en-US"/>
        </w:rPr>
      </w:pPr>
      <w:bookmarkStart w:id="13" w:name="_Ref27953"/>
      <w:r>
        <w:rPr>
          <w:b w:val="0"/>
          <w:bCs w:val="0"/>
        </w:rPr>
        <w:t xml:space="preserve">Table </w:t>
      </w:r>
      <w:r>
        <w:rPr>
          <w:b w:val="0"/>
          <w:bCs w:val="0"/>
        </w:rPr>
        <w:fldChar w:fldCharType="begin"/>
      </w:r>
      <w:r>
        <w:rPr>
          <w:b w:val="0"/>
          <w:bCs w:val="0"/>
        </w:rPr>
        <w:instrText xml:space="preserve"> SEQ Table \* ARABIC </w:instrText>
      </w:r>
      <w:r>
        <w:rPr>
          <w:b w:val="0"/>
          <w:bCs w:val="0"/>
        </w:rPr>
        <w:fldChar w:fldCharType="separate"/>
      </w:r>
      <w:r>
        <w:rPr>
          <w:b w:val="0"/>
          <w:bCs w:val="0"/>
        </w:rPr>
        <w:t>2</w:t>
      </w:r>
      <w:r>
        <w:rPr>
          <w:b w:val="0"/>
          <w:bCs w:val="0"/>
        </w:rPr>
        <w:fldChar w:fldCharType="end"/>
      </w:r>
      <w:bookmarkEnd w:id="13"/>
      <w:r>
        <w:rPr>
          <w:rFonts w:hint="eastAsia"/>
          <w:b w:val="0"/>
          <w:lang w:val="en-US"/>
        </w:rPr>
        <w:t xml:space="preserve"> Simulation parameters for TA overestimation</w:t>
      </w:r>
    </w:p>
    <w:tbl>
      <w:tblPr>
        <w:tblW w:w="6000" w:type="dxa"/>
        <w:jc w:val="center"/>
        <w:tblLayout w:type="fixed"/>
        <w:tblCellMar>
          <w:left w:w="0" w:type="dxa"/>
          <w:right w:w="0" w:type="dxa"/>
        </w:tblCellMar>
        <w:tblLook w:val="04A0" w:firstRow="1" w:lastRow="0" w:firstColumn="1" w:lastColumn="0" w:noHBand="0" w:noVBand="1"/>
      </w:tblPr>
      <w:tblGrid>
        <w:gridCol w:w="2640"/>
        <w:gridCol w:w="3360"/>
      </w:tblGrid>
      <w:tr w:rsidR="0020031B" w14:paraId="7AD5AFE4" w14:textId="77777777">
        <w:trPr>
          <w:trHeight w:val="315"/>
          <w:jc w:val="center"/>
        </w:trPr>
        <w:tc>
          <w:tcPr>
            <w:tcW w:w="2640" w:type="dxa"/>
            <w:tcBorders>
              <w:top w:val="single" w:sz="4" w:space="0" w:color="auto"/>
              <w:left w:val="single" w:sz="4" w:space="0" w:color="000000"/>
              <w:bottom w:val="single" w:sz="4" w:space="0" w:color="000000"/>
              <w:right w:val="single" w:sz="4" w:space="0" w:color="auto"/>
            </w:tcBorders>
            <w:tcMar>
              <w:top w:w="15" w:type="dxa"/>
              <w:left w:w="15" w:type="dxa"/>
              <w:right w:w="15" w:type="dxa"/>
            </w:tcMar>
            <w:vAlign w:val="center"/>
          </w:tcPr>
          <w:p w14:paraId="6DE2DA63" w14:textId="77777777" w:rsidR="0020031B" w:rsidRDefault="00BA3E1C">
            <w:pPr>
              <w:jc w:val="center"/>
              <w:textAlignment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F</w:t>
            </w:r>
            <w:r>
              <w:rPr>
                <w:rFonts w:ascii="Times New Roman" w:eastAsia="宋体" w:hAnsi="Times New Roman" w:cs="Times New Roman"/>
                <w:color w:val="000000"/>
                <w:sz w:val="16"/>
                <w:szCs w:val="16"/>
              </w:rPr>
              <w:t>requency band</w:t>
            </w:r>
          </w:p>
        </w:tc>
        <w:tc>
          <w:tcPr>
            <w:tcW w:w="3360" w:type="dxa"/>
            <w:tcBorders>
              <w:top w:val="single" w:sz="4" w:space="0" w:color="auto"/>
              <w:left w:val="single" w:sz="4" w:space="0" w:color="000000"/>
              <w:bottom w:val="single" w:sz="4" w:space="0" w:color="000000"/>
              <w:right w:val="single" w:sz="4" w:space="0" w:color="000000"/>
            </w:tcBorders>
            <w:tcMar>
              <w:top w:w="15" w:type="dxa"/>
              <w:left w:w="15" w:type="dxa"/>
              <w:right w:w="15" w:type="dxa"/>
            </w:tcMar>
            <w:vAlign w:val="center"/>
          </w:tcPr>
          <w:p w14:paraId="32E0F2F7"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Ka-band</w:t>
            </w:r>
          </w:p>
        </w:tc>
      </w:tr>
      <w:tr w:rsidR="0020031B" w14:paraId="036CF133" w14:textId="77777777">
        <w:trPr>
          <w:trHeight w:val="315"/>
          <w:jc w:val="center"/>
        </w:trPr>
        <w:tc>
          <w:tcPr>
            <w:tcW w:w="264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72C9A693" w14:textId="77777777" w:rsidR="0020031B" w:rsidRDefault="00BA3E1C">
            <w:pPr>
              <w:jc w:val="center"/>
              <w:textAlignment w:val="center"/>
              <w:rPr>
                <w:rFonts w:ascii="Times New Roman" w:eastAsia="宋体" w:hAnsi="Times New Roman" w:cs="Times New Roman"/>
                <w:color w:val="000000"/>
                <w:sz w:val="16"/>
                <w:szCs w:val="16"/>
              </w:rPr>
            </w:pPr>
            <w:r>
              <w:rPr>
                <w:rFonts w:ascii="Times New Roman" w:eastAsia="宋体" w:hAnsi="Times New Roman" w:cs="Times New Roman" w:hint="eastAsia"/>
                <w:color w:val="000000"/>
                <w:sz w:val="16"/>
                <w:szCs w:val="16"/>
              </w:rPr>
              <w:t>Channel</w:t>
            </w:r>
          </w:p>
        </w:tc>
        <w:tc>
          <w:tcPr>
            <w:tcW w:w="33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3D085335"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TDL</w:t>
            </w:r>
          </w:p>
        </w:tc>
      </w:tr>
      <w:tr w:rsidR="0020031B" w14:paraId="06A4F3A4" w14:textId="77777777">
        <w:trPr>
          <w:trHeight w:val="315"/>
          <w:jc w:val="center"/>
        </w:trPr>
        <w:tc>
          <w:tcPr>
            <w:tcW w:w="264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056DD5F2"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Tx antenna number</w:t>
            </w:r>
          </w:p>
        </w:tc>
        <w:tc>
          <w:tcPr>
            <w:tcW w:w="33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61B56307"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1</w:t>
            </w:r>
          </w:p>
        </w:tc>
      </w:tr>
      <w:tr w:rsidR="0020031B" w14:paraId="27A92ABD" w14:textId="77777777">
        <w:trPr>
          <w:trHeight w:val="315"/>
          <w:jc w:val="center"/>
        </w:trPr>
        <w:tc>
          <w:tcPr>
            <w:tcW w:w="264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012383DE"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Rx antenna number</w:t>
            </w:r>
          </w:p>
        </w:tc>
        <w:tc>
          <w:tcPr>
            <w:tcW w:w="33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A869259"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1</w:t>
            </w:r>
          </w:p>
        </w:tc>
      </w:tr>
      <w:tr w:rsidR="0020031B" w14:paraId="14DE7DF7" w14:textId="77777777">
        <w:trPr>
          <w:trHeight w:val="315"/>
          <w:jc w:val="center"/>
        </w:trPr>
        <w:tc>
          <w:tcPr>
            <w:tcW w:w="264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1FD961C3"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PUSCH SCS (kHz)</w:t>
            </w:r>
          </w:p>
        </w:tc>
        <w:tc>
          <w:tcPr>
            <w:tcW w:w="33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71884C28"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120</w:t>
            </w:r>
          </w:p>
        </w:tc>
      </w:tr>
      <w:tr w:rsidR="0020031B" w14:paraId="7C2B3D4C" w14:textId="77777777">
        <w:trPr>
          <w:trHeight w:val="90"/>
          <w:jc w:val="center"/>
        </w:trPr>
        <w:tc>
          <w:tcPr>
            <w:tcW w:w="264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369321B5"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PUSCH MCS</w:t>
            </w:r>
          </w:p>
        </w:tc>
        <w:tc>
          <w:tcPr>
            <w:tcW w:w="33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4580E057"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4</w:t>
            </w:r>
          </w:p>
        </w:tc>
      </w:tr>
      <w:tr w:rsidR="0020031B" w14:paraId="703AEC32" w14:textId="77777777">
        <w:trPr>
          <w:trHeight w:val="315"/>
          <w:jc w:val="center"/>
        </w:trPr>
        <w:tc>
          <w:tcPr>
            <w:tcW w:w="264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21DB88B1"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PUSCH bandwidth (PRB)</w:t>
            </w:r>
          </w:p>
        </w:tc>
        <w:tc>
          <w:tcPr>
            <w:tcW w:w="33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7E17C058"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12</w:t>
            </w:r>
          </w:p>
        </w:tc>
      </w:tr>
      <w:tr w:rsidR="0020031B" w14:paraId="0996C2A4" w14:textId="77777777">
        <w:trPr>
          <w:trHeight w:val="315"/>
          <w:jc w:val="center"/>
        </w:trPr>
        <w:tc>
          <w:tcPr>
            <w:tcW w:w="264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1F8440AA"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 xml:space="preserve">PUSCH start position </w:t>
            </w:r>
            <w:r>
              <w:rPr>
                <w:rFonts w:ascii="Times New Roman" w:eastAsia="宋体" w:hAnsi="Times New Roman" w:cs="Times New Roman" w:hint="eastAsia"/>
                <w:color w:val="000000"/>
                <w:sz w:val="16"/>
                <w:szCs w:val="16"/>
                <w:lang w:bidi="ar"/>
              </w:rPr>
              <w:t>(symbol)</w:t>
            </w:r>
          </w:p>
        </w:tc>
        <w:tc>
          <w:tcPr>
            <w:tcW w:w="33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2FB16F08"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8</w:t>
            </w:r>
            <w:bookmarkStart w:id="14" w:name="_GoBack"/>
            <w:bookmarkEnd w:id="14"/>
          </w:p>
        </w:tc>
      </w:tr>
      <w:tr w:rsidR="0020031B" w14:paraId="170576F7" w14:textId="77777777">
        <w:trPr>
          <w:trHeight w:val="315"/>
          <w:jc w:val="center"/>
        </w:trPr>
        <w:tc>
          <w:tcPr>
            <w:tcW w:w="264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77B5D189"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PUSCH length (symbol)</w:t>
            </w:r>
          </w:p>
        </w:tc>
        <w:tc>
          <w:tcPr>
            <w:tcW w:w="33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15346B4F"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6</w:t>
            </w:r>
          </w:p>
        </w:tc>
      </w:tr>
      <w:tr w:rsidR="0020031B" w14:paraId="2E6416CA" w14:textId="77777777">
        <w:trPr>
          <w:trHeight w:val="315"/>
          <w:jc w:val="center"/>
        </w:trPr>
        <w:tc>
          <w:tcPr>
            <w:tcW w:w="2640" w:type="dxa"/>
            <w:tcBorders>
              <w:top w:val="single" w:sz="4" w:space="0" w:color="000000"/>
              <w:left w:val="single" w:sz="4" w:space="0" w:color="000000"/>
              <w:bottom w:val="single" w:sz="4" w:space="0" w:color="000000"/>
              <w:right w:val="single" w:sz="4" w:space="0" w:color="auto"/>
            </w:tcBorders>
            <w:tcMar>
              <w:top w:w="15" w:type="dxa"/>
              <w:left w:w="15" w:type="dxa"/>
              <w:right w:w="15" w:type="dxa"/>
            </w:tcMar>
            <w:vAlign w:val="center"/>
          </w:tcPr>
          <w:p w14:paraId="47B19D39"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PRACH overestimation (ns)</w:t>
            </w:r>
          </w:p>
        </w:tc>
        <w:tc>
          <w:tcPr>
            <w:tcW w:w="3360" w:type="dxa"/>
            <w:tcBorders>
              <w:top w:val="single" w:sz="4" w:space="0" w:color="000000"/>
              <w:left w:val="single" w:sz="4" w:space="0" w:color="000000"/>
              <w:bottom w:val="single" w:sz="4" w:space="0" w:color="000000"/>
              <w:right w:val="single" w:sz="4" w:space="0" w:color="000000"/>
            </w:tcBorders>
            <w:tcMar>
              <w:top w:w="15" w:type="dxa"/>
              <w:left w:w="15" w:type="dxa"/>
              <w:right w:w="15" w:type="dxa"/>
            </w:tcMar>
            <w:vAlign w:val="center"/>
          </w:tcPr>
          <w:p w14:paraId="03E97618" w14:textId="77777777" w:rsidR="0020031B" w:rsidRDefault="00BA3E1C">
            <w:pPr>
              <w:jc w:val="center"/>
              <w:textAlignment w:val="center"/>
              <w:rPr>
                <w:rFonts w:ascii="Times New Roman" w:eastAsia="宋体" w:hAnsi="Times New Roman" w:cs="Times New Roman"/>
                <w:color w:val="000000"/>
                <w:sz w:val="16"/>
                <w:szCs w:val="16"/>
                <w:lang w:bidi="ar"/>
              </w:rPr>
            </w:pPr>
            <w:r>
              <w:rPr>
                <w:rFonts w:ascii="Times New Roman" w:eastAsia="宋体" w:hAnsi="Times New Roman" w:cs="Times New Roman" w:hint="eastAsia"/>
                <w:color w:val="000000"/>
                <w:sz w:val="16"/>
                <w:szCs w:val="16"/>
                <w:lang w:bidi="ar"/>
              </w:rPr>
              <w:t>439.45</w:t>
            </w:r>
          </w:p>
        </w:tc>
      </w:tr>
    </w:tbl>
    <w:p w14:paraId="50CB1355" w14:textId="77777777" w:rsidR="0020031B" w:rsidRDefault="0020031B">
      <w:pPr>
        <w:pStyle w:val="ListParagraph1"/>
        <w:numPr>
          <w:ilvl w:val="255"/>
          <w:numId w:val="0"/>
        </w:numPr>
        <w:spacing w:after="0" w:line="20" w:lineRule="exact"/>
        <w:ind w:left="720"/>
        <w:rPr>
          <w:rFonts w:ascii="Times New Roman" w:hAnsi="Times New Roman"/>
          <w:sz w:val="20"/>
          <w:szCs w:val="20"/>
        </w:rPr>
      </w:pPr>
    </w:p>
    <w:sectPr w:rsidR="0020031B">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Arial Unicode MS"/>
    <w:panose1 w:val="02010601000101010101"/>
    <w:charset w:val="88"/>
    <w:family w:val="auto"/>
    <w:notTrueType/>
    <w:pitch w:val="variable"/>
    <w:sig w:usb0="00000000"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97C9F1AF"/>
    <w:multiLevelType w:val="singleLevel"/>
    <w:tmpl w:val="97C9F1AF"/>
    <w:lvl w:ilvl="0">
      <w:start w:val="1"/>
      <w:numFmt w:val="decimal"/>
      <w:lvlText w:val="%1."/>
      <w:lvlJc w:val="left"/>
      <w:pPr>
        <w:tabs>
          <w:tab w:val="left" w:pos="420"/>
        </w:tabs>
        <w:ind w:left="845" w:hanging="425"/>
      </w:pPr>
      <w:rPr>
        <w:rFonts w:hint="default"/>
      </w:rPr>
    </w:lvl>
  </w:abstractNum>
  <w:abstractNum w:abstractNumId="1" w15:restartNumberingAfterBreak="0">
    <w:nsid w:val="CD1DDCAE"/>
    <w:multiLevelType w:val="singleLevel"/>
    <w:tmpl w:val="CD1DDCAE"/>
    <w:lvl w:ilvl="0">
      <w:start w:val="1"/>
      <w:numFmt w:val="decimal"/>
      <w:lvlText w:val="%1."/>
      <w:lvlJc w:val="left"/>
      <w:pPr>
        <w:tabs>
          <w:tab w:val="left" w:pos="420"/>
        </w:tabs>
        <w:ind w:left="845" w:hanging="425"/>
      </w:pPr>
      <w:rPr>
        <w:rFonts w:hint="default"/>
      </w:rPr>
    </w:lvl>
  </w:abstractNum>
  <w:abstractNum w:abstractNumId="2" w15:restartNumberingAfterBreak="0">
    <w:nsid w:val="02552047"/>
    <w:multiLevelType w:val="multilevel"/>
    <w:tmpl w:val="02552047"/>
    <w:lvl w:ilvl="0">
      <w:start w:val="1"/>
      <w:numFmt w:val="decimal"/>
      <w:pStyle w:val="1"/>
      <w:lvlText w:val="%1"/>
      <w:lvlJc w:val="left"/>
      <w:pPr>
        <w:ind w:left="432" w:hanging="432"/>
      </w:pPr>
      <w:rPr>
        <w:rFonts w:hint="default"/>
      </w:rPr>
    </w:lvl>
    <w:lvl w:ilvl="1">
      <w:start w:val="1"/>
      <w:numFmt w:val="decimal"/>
      <w:lvlText w:val="%1.%2"/>
      <w:lvlJc w:val="left"/>
      <w:pPr>
        <w:ind w:left="576" w:hanging="576"/>
      </w:pPr>
      <w:rPr>
        <w:rFonts w:hint="default"/>
        <w:sz w:val="24"/>
        <w:szCs w:val="24"/>
      </w:rPr>
    </w:lvl>
    <w:lvl w:ilvl="2">
      <w:start w:val="1"/>
      <w:numFmt w:val="decimal"/>
      <w:lvlText w:val="%1.%2.%3"/>
      <w:lvlJc w:val="left"/>
      <w:pPr>
        <w:ind w:left="720"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 w15:restartNumberingAfterBreak="0">
    <w:nsid w:val="4A7E110B"/>
    <w:multiLevelType w:val="multilevel"/>
    <w:tmpl w:val="4A7E110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4C396493"/>
    <w:multiLevelType w:val="multilevel"/>
    <w:tmpl w:val="4C3964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D921602"/>
    <w:multiLevelType w:val="multilevel"/>
    <w:tmpl w:val="4D921602"/>
    <w:lvl w:ilvl="0">
      <w:start w:val="1"/>
      <w:numFmt w:val="decimal"/>
      <w:lvlText w:val="%1."/>
      <w:lvlJc w:val="left"/>
      <w:pPr>
        <w:ind w:left="800" w:hanging="360"/>
      </w:pPr>
      <w:rPr>
        <w:rFonts w:hint="default"/>
      </w:rPr>
    </w:lvl>
    <w:lvl w:ilvl="1">
      <w:start w:val="1"/>
      <w:numFmt w:val="lowerLetter"/>
      <w:lvlText w:val="%2)"/>
      <w:lvlJc w:val="left"/>
      <w:pPr>
        <w:ind w:left="1280" w:hanging="420"/>
      </w:pPr>
    </w:lvl>
    <w:lvl w:ilvl="2">
      <w:start w:val="1"/>
      <w:numFmt w:val="lowerRoman"/>
      <w:lvlText w:val="%3."/>
      <w:lvlJc w:val="right"/>
      <w:pPr>
        <w:ind w:left="1700" w:hanging="420"/>
      </w:pPr>
    </w:lvl>
    <w:lvl w:ilvl="3">
      <w:start w:val="1"/>
      <w:numFmt w:val="decimal"/>
      <w:lvlText w:val="%4."/>
      <w:lvlJc w:val="left"/>
      <w:pPr>
        <w:ind w:left="2120" w:hanging="420"/>
      </w:pPr>
    </w:lvl>
    <w:lvl w:ilvl="4">
      <w:start w:val="1"/>
      <w:numFmt w:val="lowerLetter"/>
      <w:lvlText w:val="%5)"/>
      <w:lvlJc w:val="left"/>
      <w:pPr>
        <w:ind w:left="2540" w:hanging="420"/>
      </w:pPr>
    </w:lvl>
    <w:lvl w:ilvl="5">
      <w:start w:val="1"/>
      <w:numFmt w:val="lowerRoman"/>
      <w:lvlText w:val="%6."/>
      <w:lvlJc w:val="right"/>
      <w:pPr>
        <w:ind w:left="2960" w:hanging="420"/>
      </w:pPr>
    </w:lvl>
    <w:lvl w:ilvl="6">
      <w:start w:val="1"/>
      <w:numFmt w:val="decimal"/>
      <w:lvlText w:val="%7."/>
      <w:lvlJc w:val="left"/>
      <w:pPr>
        <w:ind w:left="3380" w:hanging="420"/>
      </w:pPr>
    </w:lvl>
    <w:lvl w:ilvl="7">
      <w:start w:val="1"/>
      <w:numFmt w:val="lowerLetter"/>
      <w:lvlText w:val="%8)"/>
      <w:lvlJc w:val="left"/>
      <w:pPr>
        <w:ind w:left="3800" w:hanging="420"/>
      </w:pPr>
    </w:lvl>
    <w:lvl w:ilvl="8">
      <w:start w:val="1"/>
      <w:numFmt w:val="lowerRoman"/>
      <w:lvlText w:val="%9."/>
      <w:lvlJc w:val="right"/>
      <w:pPr>
        <w:ind w:left="4220" w:hanging="420"/>
      </w:pPr>
    </w:lvl>
  </w:abstractNum>
  <w:abstractNum w:abstractNumId="8" w15:restartNumberingAfterBreak="0">
    <w:nsid w:val="6E8761E4"/>
    <w:multiLevelType w:val="singleLevel"/>
    <w:tmpl w:val="6E8761E4"/>
    <w:lvl w:ilvl="0">
      <w:start w:val="1"/>
      <w:numFmt w:val="decimal"/>
      <w:lvlText w:val="%1."/>
      <w:lvlJc w:val="left"/>
      <w:pPr>
        <w:tabs>
          <w:tab w:val="left" w:pos="420"/>
        </w:tabs>
        <w:ind w:left="845" w:hanging="425"/>
      </w:pPr>
      <w:rPr>
        <w:rFonts w:hint="default"/>
      </w:rPr>
    </w:lvl>
  </w:abstractNum>
  <w:num w:numId="1">
    <w:abstractNumId w:val="2"/>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num>
  <w:num w:numId="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6"/>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8"/>
  </w:num>
  <w:num w:numId="8">
    <w:abstractNumId w:val="0"/>
  </w:num>
  <w:num w:numId="9">
    <w:abstractNumId w:val="1"/>
  </w:num>
  <w:num w:numId="10">
    <w:abstractNumId w:val="7"/>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embedSystemFonts/>
  <w:bordersDoNotSurroundHeader/>
  <w:bordersDoNotSurroundFooter/>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3ADE"/>
    <w:rsid w:val="0000112A"/>
    <w:rsid w:val="00002327"/>
    <w:rsid w:val="00002418"/>
    <w:rsid w:val="000046F5"/>
    <w:rsid w:val="00004E88"/>
    <w:rsid w:val="00005B14"/>
    <w:rsid w:val="00010179"/>
    <w:rsid w:val="00015039"/>
    <w:rsid w:val="00015132"/>
    <w:rsid w:val="00021434"/>
    <w:rsid w:val="00021AAE"/>
    <w:rsid w:val="00022E51"/>
    <w:rsid w:val="0002404A"/>
    <w:rsid w:val="000255C7"/>
    <w:rsid w:val="00026E46"/>
    <w:rsid w:val="000305EC"/>
    <w:rsid w:val="0003439E"/>
    <w:rsid w:val="00036AFC"/>
    <w:rsid w:val="00040044"/>
    <w:rsid w:val="0004019D"/>
    <w:rsid w:val="00042798"/>
    <w:rsid w:val="00043AF2"/>
    <w:rsid w:val="00044F8D"/>
    <w:rsid w:val="00046EC1"/>
    <w:rsid w:val="00052ACC"/>
    <w:rsid w:val="00053670"/>
    <w:rsid w:val="00054B9E"/>
    <w:rsid w:val="0005556D"/>
    <w:rsid w:val="0005679C"/>
    <w:rsid w:val="000600A4"/>
    <w:rsid w:val="000630EA"/>
    <w:rsid w:val="0006445C"/>
    <w:rsid w:val="00064C14"/>
    <w:rsid w:val="00067072"/>
    <w:rsid w:val="000707AD"/>
    <w:rsid w:val="00074CEC"/>
    <w:rsid w:val="000771C3"/>
    <w:rsid w:val="00082E56"/>
    <w:rsid w:val="00085425"/>
    <w:rsid w:val="0008799A"/>
    <w:rsid w:val="0009076A"/>
    <w:rsid w:val="00091DB0"/>
    <w:rsid w:val="000929D3"/>
    <w:rsid w:val="00096412"/>
    <w:rsid w:val="00096975"/>
    <w:rsid w:val="00097080"/>
    <w:rsid w:val="00097C29"/>
    <w:rsid w:val="000A0C3E"/>
    <w:rsid w:val="000A2896"/>
    <w:rsid w:val="000A5D0C"/>
    <w:rsid w:val="000A6607"/>
    <w:rsid w:val="000A6F26"/>
    <w:rsid w:val="000B345B"/>
    <w:rsid w:val="000B512D"/>
    <w:rsid w:val="000B6824"/>
    <w:rsid w:val="000C0612"/>
    <w:rsid w:val="000C1944"/>
    <w:rsid w:val="000C216B"/>
    <w:rsid w:val="000C3A22"/>
    <w:rsid w:val="000C46C1"/>
    <w:rsid w:val="000C4C4D"/>
    <w:rsid w:val="000C5487"/>
    <w:rsid w:val="000C600C"/>
    <w:rsid w:val="000C6104"/>
    <w:rsid w:val="000C6CD2"/>
    <w:rsid w:val="000D24E2"/>
    <w:rsid w:val="000D2FFB"/>
    <w:rsid w:val="000D35D7"/>
    <w:rsid w:val="000D5861"/>
    <w:rsid w:val="000D598F"/>
    <w:rsid w:val="000E4EF8"/>
    <w:rsid w:val="000E6592"/>
    <w:rsid w:val="000E65C2"/>
    <w:rsid w:val="000E7075"/>
    <w:rsid w:val="000F22A0"/>
    <w:rsid w:val="000F2DCC"/>
    <w:rsid w:val="000F4FB7"/>
    <w:rsid w:val="000F504F"/>
    <w:rsid w:val="000F58D7"/>
    <w:rsid w:val="000F7322"/>
    <w:rsid w:val="000F785C"/>
    <w:rsid w:val="00102955"/>
    <w:rsid w:val="001030E2"/>
    <w:rsid w:val="00103ADE"/>
    <w:rsid w:val="001042A2"/>
    <w:rsid w:val="001053A6"/>
    <w:rsid w:val="001140B1"/>
    <w:rsid w:val="001164E7"/>
    <w:rsid w:val="001175A0"/>
    <w:rsid w:val="0011771D"/>
    <w:rsid w:val="00117825"/>
    <w:rsid w:val="00120E8A"/>
    <w:rsid w:val="0012343B"/>
    <w:rsid w:val="00123A6A"/>
    <w:rsid w:val="00127950"/>
    <w:rsid w:val="0013220A"/>
    <w:rsid w:val="001366F7"/>
    <w:rsid w:val="001369F6"/>
    <w:rsid w:val="001401D1"/>
    <w:rsid w:val="00140AE4"/>
    <w:rsid w:val="0014136C"/>
    <w:rsid w:val="0014315C"/>
    <w:rsid w:val="001455B4"/>
    <w:rsid w:val="00145BE8"/>
    <w:rsid w:val="00152B82"/>
    <w:rsid w:val="00152E17"/>
    <w:rsid w:val="00153DFD"/>
    <w:rsid w:val="00163958"/>
    <w:rsid w:val="00163E3A"/>
    <w:rsid w:val="001645E4"/>
    <w:rsid w:val="00164C6C"/>
    <w:rsid w:val="00165036"/>
    <w:rsid w:val="00166848"/>
    <w:rsid w:val="00166EF0"/>
    <w:rsid w:val="00167C34"/>
    <w:rsid w:val="00170CD6"/>
    <w:rsid w:val="0017178D"/>
    <w:rsid w:val="00173624"/>
    <w:rsid w:val="00174EE5"/>
    <w:rsid w:val="00176496"/>
    <w:rsid w:val="001767AB"/>
    <w:rsid w:val="00176CE4"/>
    <w:rsid w:val="00177052"/>
    <w:rsid w:val="00183086"/>
    <w:rsid w:val="00185634"/>
    <w:rsid w:val="0019297F"/>
    <w:rsid w:val="00194A42"/>
    <w:rsid w:val="001964C6"/>
    <w:rsid w:val="001A040E"/>
    <w:rsid w:val="001A27EA"/>
    <w:rsid w:val="001A585E"/>
    <w:rsid w:val="001A74B5"/>
    <w:rsid w:val="001B0350"/>
    <w:rsid w:val="001B1525"/>
    <w:rsid w:val="001B61CA"/>
    <w:rsid w:val="001C3113"/>
    <w:rsid w:val="001C34AE"/>
    <w:rsid w:val="001C53EA"/>
    <w:rsid w:val="001D0BE9"/>
    <w:rsid w:val="001D3FCD"/>
    <w:rsid w:val="001D4C5A"/>
    <w:rsid w:val="001D59E7"/>
    <w:rsid w:val="001D7DDA"/>
    <w:rsid w:val="001E130B"/>
    <w:rsid w:val="001E2099"/>
    <w:rsid w:val="001E27E0"/>
    <w:rsid w:val="001F080B"/>
    <w:rsid w:val="001F42FD"/>
    <w:rsid w:val="001F532D"/>
    <w:rsid w:val="001F73F8"/>
    <w:rsid w:val="001F7E2A"/>
    <w:rsid w:val="0020031B"/>
    <w:rsid w:val="00206259"/>
    <w:rsid w:val="00211192"/>
    <w:rsid w:val="002150C0"/>
    <w:rsid w:val="00215B4B"/>
    <w:rsid w:val="00215C0C"/>
    <w:rsid w:val="00217CD0"/>
    <w:rsid w:val="00220F13"/>
    <w:rsid w:val="00222B41"/>
    <w:rsid w:val="002239D1"/>
    <w:rsid w:val="002239E2"/>
    <w:rsid w:val="002260BF"/>
    <w:rsid w:val="002277AA"/>
    <w:rsid w:val="00227B9F"/>
    <w:rsid w:val="00230E2F"/>
    <w:rsid w:val="002337F7"/>
    <w:rsid w:val="00234FE9"/>
    <w:rsid w:val="0024089A"/>
    <w:rsid w:val="00241E81"/>
    <w:rsid w:val="00242177"/>
    <w:rsid w:val="0024761D"/>
    <w:rsid w:val="002509D8"/>
    <w:rsid w:val="00255D8E"/>
    <w:rsid w:val="00261495"/>
    <w:rsid w:val="002617C9"/>
    <w:rsid w:val="002628A3"/>
    <w:rsid w:val="00263CF8"/>
    <w:rsid w:val="00266010"/>
    <w:rsid w:val="002662CE"/>
    <w:rsid w:val="00272F96"/>
    <w:rsid w:val="002749B2"/>
    <w:rsid w:val="002804CA"/>
    <w:rsid w:val="00282B5B"/>
    <w:rsid w:val="002863A3"/>
    <w:rsid w:val="00286A1A"/>
    <w:rsid w:val="002901AB"/>
    <w:rsid w:val="00290412"/>
    <w:rsid w:val="00291D82"/>
    <w:rsid w:val="002924F9"/>
    <w:rsid w:val="0029575D"/>
    <w:rsid w:val="002A03BF"/>
    <w:rsid w:val="002A3174"/>
    <w:rsid w:val="002A40A7"/>
    <w:rsid w:val="002A431F"/>
    <w:rsid w:val="002A5D5E"/>
    <w:rsid w:val="002A5DBB"/>
    <w:rsid w:val="002A7E58"/>
    <w:rsid w:val="002B1AEC"/>
    <w:rsid w:val="002B3F53"/>
    <w:rsid w:val="002B4341"/>
    <w:rsid w:val="002B5408"/>
    <w:rsid w:val="002B6229"/>
    <w:rsid w:val="002C36C2"/>
    <w:rsid w:val="002C37D5"/>
    <w:rsid w:val="002C4016"/>
    <w:rsid w:val="002C5BB8"/>
    <w:rsid w:val="002C5C2D"/>
    <w:rsid w:val="002C636A"/>
    <w:rsid w:val="002C7437"/>
    <w:rsid w:val="002D35C9"/>
    <w:rsid w:val="002D3617"/>
    <w:rsid w:val="002D4F8A"/>
    <w:rsid w:val="002D74A4"/>
    <w:rsid w:val="002E0B56"/>
    <w:rsid w:val="002E2D9B"/>
    <w:rsid w:val="002E5475"/>
    <w:rsid w:val="002E5A0C"/>
    <w:rsid w:val="002E5F90"/>
    <w:rsid w:val="002E6858"/>
    <w:rsid w:val="002E7D93"/>
    <w:rsid w:val="002E7F8A"/>
    <w:rsid w:val="002F0209"/>
    <w:rsid w:val="002F16C4"/>
    <w:rsid w:val="002F2A52"/>
    <w:rsid w:val="002F37E8"/>
    <w:rsid w:val="002F65FD"/>
    <w:rsid w:val="002F67A2"/>
    <w:rsid w:val="002F67ED"/>
    <w:rsid w:val="002F7433"/>
    <w:rsid w:val="00300887"/>
    <w:rsid w:val="00300BD1"/>
    <w:rsid w:val="00301393"/>
    <w:rsid w:val="00301C35"/>
    <w:rsid w:val="003020ED"/>
    <w:rsid w:val="0030330F"/>
    <w:rsid w:val="00303EF0"/>
    <w:rsid w:val="00304BDE"/>
    <w:rsid w:val="00305DE0"/>
    <w:rsid w:val="0030727E"/>
    <w:rsid w:val="00313773"/>
    <w:rsid w:val="00313AD9"/>
    <w:rsid w:val="00313D16"/>
    <w:rsid w:val="00314809"/>
    <w:rsid w:val="00315066"/>
    <w:rsid w:val="00315C20"/>
    <w:rsid w:val="00317C7F"/>
    <w:rsid w:val="00320CAE"/>
    <w:rsid w:val="00331622"/>
    <w:rsid w:val="003317E3"/>
    <w:rsid w:val="0033281C"/>
    <w:rsid w:val="00332D42"/>
    <w:rsid w:val="00333D5B"/>
    <w:rsid w:val="00334734"/>
    <w:rsid w:val="00334DC2"/>
    <w:rsid w:val="0033576B"/>
    <w:rsid w:val="003405B7"/>
    <w:rsid w:val="003409CF"/>
    <w:rsid w:val="00340F85"/>
    <w:rsid w:val="00343B5D"/>
    <w:rsid w:val="00345FE9"/>
    <w:rsid w:val="003503C4"/>
    <w:rsid w:val="00350FBC"/>
    <w:rsid w:val="00351908"/>
    <w:rsid w:val="0035204B"/>
    <w:rsid w:val="00352086"/>
    <w:rsid w:val="003529BD"/>
    <w:rsid w:val="003557F6"/>
    <w:rsid w:val="003627EF"/>
    <w:rsid w:val="003634E2"/>
    <w:rsid w:val="00363A78"/>
    <w:rsid w:val="003643F8"/>
    <w:rsid w:val="00366F67"/>
    <w:rsid w:val="0037065F"/>
    <w:rsid w:val="003720D1"/>
    <w:rsid w:val="0037266D"/>
    <w:rsid w:val="00375C1F"/>
    <w:rsid w:val="003813C9"/>
    <w:rsid w:val="003821A4"/>
    <w:rsid w:val="00384A17"/>
    <w:rsid w:val="003851CA"/>
    <w:rsid w:val="0038541D"/>
    <w:rsid w:val="00387508"/>
    <w:rsid w:val="00391906"/>
    <w:rsid w:val="0039193E"/>
    <w:rsid w:val="003933F1"/>
    <w:rsid w:val="00395C77"/>
    <w:rsid w:val="00396782"/>
    <w:rsid w:val="00396A19"/>
    <w:rsid w:val="00396D4B"/>
    <w:rsid w:val="00396FEB"/>
    <w:rsid w:val="003A0AD5"/>
    <w:rsid w:val="003A0F24"/>
    <w:rsid w:val="003A11F6"/>
    <w:rsid w:val="003A1352"/>
    <w:rsid w:val="003A1EED"/>
    <w:rsid w:val="003A2742"/>
    <w:rsid w:val="003A2EE6"/>
    <w:rsid w:val="003A3310"/>
    <w:rsid w:val="003A420A"/>
    <w:rsid w:val="003A519F"/>
    <w:rsid w:val="003B1113"/>
    <w:rsid w:val="003B1C09"/>
    <w:rsid w:val="003B3197"/>
    <w:rsid w:val="003B47ED"/>
    <w:rsid w:val="003B5BAE"/>
    <w:rsid w:val="003C193E"/>
    <w:rsid w:val="003C54CC"/>
    <w:rsid w:val="003C562C"/>
    <w:rsid w:val="003C6911"/>
    <w:rsid w:val="003C7925"/>
    <w:rsid w:val="003D0C02"/>
    <w:rsid w:val="003D471D"/>
    <w:rsid w:val="003D645F"/>
    <w:rsid w:val="003E10DC"/>
    <w:rsid w:val="003E21E9"/>
    <w:rsid w:val="003E239D"/>
    <w:rsid w:val="003E4FCA"/>
    <w:rsid w:val="003E4FD3"/>
    <w:rsid w:val="003F097C"/>
    <w:rsid w:val="003F16AA"/>
    <w:rsid w:val="003F2293"/>
    <w:rsid w:val="003F7954"/>
    <w:rsid w:val="00402656"/>
    <w:rsid w:val="00406247"/>
    <w:rsid w:val="00407685"/>
    <w:rsid w:val="00407B1E"/>
    <w:rsid w:val="0041043C"/>
    <w:rsid w:val="00416785"/>
    <w:rsid w:val="0041746D"/>
    <w:rsid w:val="00417601"/>
    <w:rsid w:val="00417A84"/>
    <w:rsid w:val="00420D73"/>
    <w:rsid w:val="00422186"/>
    <w:rsid w:val="00423727"/>
    <w:rsid w:val="0042521E"/>
    <w:rsid w:val="0042651B"/>
    <w:rsid w:val="004301DE"/>
    <w:rsid w:val="0043065A"/>
    <w:rsid w:val="004318CA"/>
    <w:rsid w:val="00431B46"/>
    <w:rsid w:val="00431D3C"/>
    <w:rsid w:val="00436FE4"/>
    <w:rsid w:val="0044070C"/>
    <w:rsid w:val="004408D1"/>
    <w:rsid w:val="00444241"/>
    <w:rsid w:val="0044553B"/>
    <w:rsid w:val="0044653C"/>
    <w:rsid w:val="00446894"/>
    <w:rsid w:val="00446BAA"/>
    <w:rsid w:val="00446F38"/>
    <w:rsid w:val="00451DFB"/>
    <w:rsid w:val="00452D85"/>
    <w:rsid w:val="00453286"/>
    <w:rsid w:val="00453D6C"/>
    <w:rsid w:val="00454AF2"/>
    <w:rsid w:val="00456C5B"/>
    <w:rsid w:val="0045733E"/>
    <w:rsid w:val="004573FA"/>
    <w:rsid w:val="00463942"/>
    <w:rsid w:val="00464E35"/>
    <w:rsid w:val="004654BC"/>
    <w:rsid w:val="004654CB"/>
    <w:rsid w:val="004702C2"/>
    <w:rsid w:val="004729EF"/>
    <w:rsid w:val="004731FE"/>
    <w:rsid w:val="0048145B"/>
    <w:rsid w:val="00481B43"/>
    <w:rsid w:val="0048347E"/>
    <w:rsid w:val="00484022"/>
    <w:rsid w:val="0048570C"/>
    <w:rsid w:val="00486487"/>
    <w:rsid w:val="0048653D"/>
    <w:rsid w:val="0048763A"/>
    <w:rsid w:val="00490561"/>
    <w:rsid w:val="00492181"/>
    <w:rsid w:val="00492CAD"/>
    <w:rsid w:val="004945B1"/>
    <w:rsid w:val="00494A92"/>
    <w:rsid w:val="00495944"/>
    <w:rsid w:val="00495A57"/>
    <w:rsid w:val="004A15E7"/>
    <w:rsid w:val="004A5C0E"/>
    <w:rsid w:val="004A6BE0"/>
    <w:rsid w:val="004A7965"/>
    <w:rsid w:val="004B05AC"/>
    <w:rsid w:val="004B27B7"/>
    <w:rsid w:val="004B37BB"/>
    <w:rsid w:val="004B5F93"/>
    <w:rsid w:val="004B6616"/>
    <w:rsid w:val="004C047C"/>
    <w:rsid w:val="004C1572"/>
    <w:rsid w:val="004C32AB"/>
    <w:rsid w:val="004C35CF"/>
    <w:rsid w:val="004D4385"/>
    <w:rsid w:val="004D578F"/>
    <w:rsid w:val="004D58FF"/>
    <w:rsid w:val="004D59E5"/>
    <w:rsid w:val="004D76CF"/>
    <w:rsid w:val="004E0E27"/>
    <w:rsid w:val="004E26D6"/>
    <w:rsid w:val="004E5051"/>
    <w:rsid w:val="004E5664"/>
    <w:rsid w:val="004E6534"/>
    <w:rsid w:val="004E7C87"/>
    <w:rsid w:val="004F004C"/>
    <w:rsid w:val="004F09C8"/>
    <w:rsid w:val="004F47F5"/>
    <w:rsid w:val="004F7230"/>
    <w:rsid w:val="00500B0A"/>
    <w:rsid w:val="0050203F"/>
    <w:rsid w:val="00503202"/>
    <w:rsid w:val="00504167"/>
    <w:rsid w:val="0050481A"/>
    <w:rsid w:val="00514A5F"/>
    <w:rsid w:val="0051511D"/>
    <w:rsid w:val="0051721B"/>
    <w:rsid w:val="00520474"/>
    <w:rsid w:val="005245D8"/>
    <w:rsid w:val="00527981"/>
    <w:rsid w:val="00531476"/>
    <w:rsid w:val="00532BE2"/>
    <w:rsid w:val="00533E6F"/>
    <w:rsid w:val="00536865"/>
    <w:rsid w:val="00541AC2"/>
    <w:rsid w:val="00542F50"/>
    <w:rsid w:val="0054377D"/>
    <w:rsid w:val="005439BB"/>
    <w:rsid w:val="00546AA2"/>
    <w:rsid w:val="00547EED"/>
    <w:rsid w:val="0055515C"/>
    <w:rsid w:val="00555635"/>
    <w:rsid w:val="0055771C"/>
    <w:rsid w:val="00557DF7"/>
    <w:rsid w:val="00560112"/>
    <w:rsid w:val="0056072D"/>
    <w:rsid w:val="00561353"/>
    <w:rsid w:val="005631E5"/>
    <w:rsid w:val="00572794"/>
    <w:rsid w:val="005776B3"/>
    <w:rsid w:val="00577B25"/>
    <w:rsid w:val="00577FA3"/>
    <w:rsid w:val="005800AE"/>
    <w:rsid w:val="005818F2"/>
    <w:rsid w:val="0058467B"/>
    <w:rsid w:val="005847B4"/>
    <w:rsid w:val="00587B31"/>
    <w:rsid w:val="00591A9A"/>
    <w:rsid w:val="00591AFC"/>
    <w:rsid w:val="00593A13"/>
    <w:rsid w:val="005942C9"/>
    <w:rsid w:val="00594C6B"/>
    <w:rsid w:val="00595FF1"/>
    <w:rsid w:val="0059699B"/>
    <w:rsid w:val="00596B55"/>
    <w:rsid w:val="005A50F5"/>
    <w:rsid w:val="005A6441"/>
    <w:rsid w:val="005A6487"/>
    <w:rsid w:val="005A65FF"/>
    <w:rsid w:val="005B0A1B"/>
    <w:rsid w:val="005B0FF6"/>
    <w:rsid w:val="005B136F"/>
    <w:rsid w:val="005B262F"/>
    <w:rsid w:val="005B4921"/>
    <w:rsid w:val="005B4E40"/>
    <w:rsid w:val="005B55FD"/>
    <w:rsid w:val="005B7EB5"/>
    <w:rsid w:val="005C07D3"/>
    <w:rsid w:val="005C1775"/>
    <w:rsid w:val="005C25C8"/>
    <w:rsid w:val="005C39A8"/>
    <w:rsid w:val="005C5C1D"/>
    <w:rsid w:val="005C6038"/>
    <w:rsid w:val="005C611C"/>
    <w:rsid w:val="005C7591"/>
    <w:rsid w:val="005C7BD4"/>
    <w:rsid w:val="005D0855"/>
    <w:rsid w:val="005D0FDD"/>
    <w:rsid w:val="005D13C0"/>
    <w:rsid w:val="005E0E1D"/>
    <w:rsid w:val="005E247B"/>
    <w:rsid w:val="005E4CFC"/>
    <w:rsid w:val="005E567C"/>
    <w:rsid w:val="005E5A35"/>
    <w:rsid w:val="005F1C4C"/>
    <w:rsid w:val="005F347D"/>
    <w:rsid w:val="005F4060"/>
    <w:rsid w:val="005F5FD1"/>
    <w:rsid w:val="005F6497"/>
    <w:rsid w:val="005F6A35"/>
    <w:rsid w:val="00600C3B"/>
    <w:rsid w:val="00604BE0"/>
    <w:rsid w:val="00604ED7"/>
    <w:rsid w:val="00605C52"/>
    <w:rsid w:val="006069F4"/>
    <w:rsid w:val="006075F1"/>
    <w:rsid w:val="00610C89"/>
    <w:rsid w:val="00611BF1"/>
    <w:rsid w:val="0061579B"/>
    <w:rsid w:val="00615F56"/>
    <w:rsid w:val="00617E3E"/>
    <w:rsid w:val="0062089C"/>
    <w:rsid w:val="006209D1"/>
    <w:rsid w:val="00620E03"/>
    <w:rsid w:val="00621317"/>
    <w:rsid w:val="006230D7"/>
    <w:rsid w:val="0062327B"/>
    <w:rsid w:val="00623636"/>
    <w:rsid w:val="00625539"/>
    <w:rsid w:val="006309DB"/>
    <w:rsid w:val="00631E9B"/>
    <w:rsid w:val="00632335"/>
    <w:rsid w:val="006336DA"/>
    <w:rsid w:val="00633ED2"/>
    <w:rsid w:val="00634D66"/>
    <w:rsid w:val="006361FB"/>
    <w:rsid w:val="006401AA"/>
    <w:rsid w:val="006424C6"/>
    <w:rsid w:val="00642581"/>
    <w:rsid w:val="0064570B"/>
    <w:rsid w:val="00646900"/>
    <w:rsid w:val="0065067B"/>
    <w:rsid w:val="006527BC"/>
    <w:rsid w:val="006535CC"/>
    <w:rsid w:val="00653D64"/>
    <w:rsid w:val="0065408D"/>
    <w:rsid w:val="006555CE"/>
    <w:rsid w:val="0065614D"/>
    <w:rsid w:val="00656648"/>
    <w:rsid w:val="006570C0"/>
    <w:rsid w:val="00657778"/>
    <w:rsid w:val="006608EA"/>
    <w:rsid w:val="00661B5D"/>
    <w:rsid w:val="00664290"/>
    <w:rsid w:val="006651B0"/>
    <w:rsid w:val="006652A5"/>
    <w:rsid w:val="006679C0"/>
    <w:rsid w:val="0067386F"/>
    <w:rsid w:val="00673B49"/>
    <w:rsid w:val="00675B3E"/>
    <w:rsid w:val="00675E96"/>
    <w:rsid w:val="00676E47"/>
    <w:rsid w:val="0067706A"/>
    <w:rsid w:val="00680759"/>
    <w:rsid w:val="00681096"/>
    <w:rsid w:val="00682298"/>
    <w:rsid w:val="0068392E"/>
    <w:rsid w:val="0068550A"/>
    <w:rsid w:val="0068710D"/>
    <w:rsid w:val="006942DE"/>
    <w:rsid w:val="00695773"/>
    <w:rsid w:val="006959F4"/>
    <w:rsid w:val="00695F4B"/>
    <w:rsid w:val="00696055"/>
    <w:rsid w:val="006A2144"/>
    <w:rsid w:val="006A5005"/>
    <w:rsid w:val="006A770B"/>
    <w:rsid w:val="006A78AB"/>
    <w:rsid w:val="006B11B9"/>
    <w:rsid w:val="006B2BFD"/>
    <w:rsid w:val="006B2F59"/>
    <w:rsid w:val="006B3E7B"/>
    <w:rsid w:val="006B44DE"/>
    <w:rsid w:val="006B68A9"/>
    <w:rsid w:val="006B68BB"/>
    <w:rsid w:val="006C2AFB"/>
    <w:rsid w:val="006C5BED"/>
    <w:rsid w:val="006C63FA"/>
    <w:rsid w:val="006C79CC"/>
    <w:rsid w:val="006C7C94"/>
    <w:rsid w:val="006D02E7"/>
    <w:rsid w:val="006D267E"/>
    <w:rsid w:val="006D2F82"/>
    <w:rsid w:val="006D419D"/>
    <w:rsid w:val="006D471A"/>
    <w:rsid w:val="006D5130"/>
    <w:rsid w:val="006E492C"/>
    <w:rsid w:val="006E56D5"/>
    <w:rsid w:val="006E5A5A"/>
    <w:rsid w:val="006F05F7"/>
    <w:rsid w:val="006F2A5C"/>
    <w:rsid w:val="006F31E9"/>
    <w:rsid w:val="006F4431"/>
    <w:rsid w:val="006F72D5"/>
    <w:rsid w:val="006F72F6"/>
    <w:rsid w:val="00700CD1"/>
    <w:rsid w:val="007012CD"/>
    <w:rsid w:val="00702B90"/>
    <w:rsid w:val="0070447C"/>
    <w:rsid w:val="00711028"/>
    <w:rsid w:val="00713CDF"/>
    <w:rsid w:val="0071444C"/>
    <w:rsid w:val="007153CF"/>
    <w:rsid w:val="0071629F"/>
    <w:rsid w:val="00716683"/>
    <w:rsid w:val="00717015"/>
    <w:rsid w:val="00720231"/>
    <w:rsid w:val="00720CE7"/>
    <w:rsid w:val="0072125E"/>
    <w:rsid w:val="00721DCF"/>
    <w:rsid w:val="0072286D"/>
    <w:rsid w:val="00724E82"/>
    <w:rsid w:val="0072584B"/>
    <w:rsid w:val="00727CFC"/>
    <w:rsid w:val="00730741"/>
    <w:rsid w:val="00731300"/>
    <w:rsid w:val="00734A39"/>
    <w:rsid w:val="00737944"/>
    <w:rsid w:val="007453DB"/>
    <w:rsid w:val="00745D0B"/>
    <w:rsid w:val="00746683"/>
    <w:rsid w:val="007571BD"/>
    <w:rsid w:val="00761227"/>
    <w:rsid w:val="00762B16"/>
    <w:rsid w:val="00764DDF"/>
    <w:rsid w:val="00765D18"/>
    <w:rsid w:val="00766275"/>
    <w:rsid w:val="00766629"/>
    <w:rsid w:val="00766EC1"/>
    <w:rsid w:val="00770305"/>
    <w:rsid w:val="0077075F"/>
    <w:rsid w:val="0078257B"/>
    <w:rsid w:val="00782A64"/>
    <w:rsid w:val="0078436A"/>
    <w:rsid w:val="0078446D"/>
    <w:rsid w:val="00786908"/>
    <w:rsid w:val="0078717C"/>
    <w:rsid w:val="007907A9"/>
    <w:rsid w:val="007918C5"/>
    <w:rsid w:val="00792482"/>
    <w:rsid w:val="007934C2"/>
    <w:rsid w:val="00795081"/>
    <w:rsid w:val="00796AB0"/>
    <w:rsid w:val="007A040B"/>
    <w:rsid w:val="007A29B5"/>
    <w:rsid w:val="007A29D7"/>
    <w:rsid w:val="007A4006"/>
    <w:rsid w:val="007A41C8"/>
    <w:rsid w:val="007A508F"/>
    <w:rsid w:val="007A64E8"/>
    <w:rsid w:val="007A6D32"/>
    <w:rsid w:val="007A7E5E"/>
    <w:rsid w:val="007A7FCE"/>
    <w:rsid w:val="007B1EAD"/>
    <w:rsid w:val="007B2A3D"/>
    <w:rsid w:val="007B2C1F"/>
    <w:rsid w:val="007B4875"/>
    <w:rsid w:val="007B5970"/>
    <w:rsid w:val="007B59A2"/>
    <w:rsid w:val="007B60A5"/>
    <w:rsid w:val="007C03F8"/>
    <w:rsid w:val="007C24BE"/>
    <w:rsid w:val="007C3DE6"/>
    <w:rsid w:val="007C4CDF"/>
    <w:rsid w:val="007C4DC2"/>
    <w:rsid w:val="007C6683"/>
    <w:rsid w:val="007C66D0"/>
    <w:rsid w:val="007C74B8"/>
    <w:rsid w:val="007C74EA"/>
    <w:rsid w:val="007C753F"/>
    <w:rsid w:val="007C7CFE"/>
    <w:rsid w:val="007D056B"/>
    <w:rsid w:val="007D0D62"/>
    <w:rsid w:val="007D21B4"/>
    <w:rsid w:val="007D38B5"/>
    <w:rsid w:val="007D544F"/>
    <w:rsid w:val="007D6245"/>
    <w:rsid w:val="007E195E"/>
    <w:rsid w:val="007E3897"/>
    <w:rsid w:val="007E5230"/>
    <w:rsid w:val="007E62AD"/>
    <w:rsid w:val="007E6927"/>
    <w:rsid w:val="007F12AD"/>
    <w:rsid w:val="007F19DB"/>
    <w:rsid w:val="007F2E8A"/>
    <w:rsid w:val="007F457F"/>
    <w:rsid w:val="007F4FDC"/>
    <w:rsid w:val="007F56C2"/>
    <w:rsid w:val="007F5D5F"/>
    <w:rsid w:val="00803CD0"/>
    <w:rsid w:val="00804849"/>
    <w:rsid w:val="00804E53"/>
    <w:rsid w:val="008073A4"/>
    <w:rsid w:val="00807AAA"/>
    <w:rsid w:val="00807D66"/>
    <w:rsid w:val="00810BD2"/>
    <w:rsid w:val="0081116D"/>
    <w:rsid w:val="008113D6"/>
    <w:rsid w:val="00811502"/>
    <w:rsid w:val="00813870"/>
    <w:rsid w:val="00815139"/>
    <w:rsid w:val="00815DAB"/>
    <w:rsid w:val="00820855"/>
    <w:rsid w:val="0082282A"/>
    <w:rsid w:val="0082555C"/>
    <w:rsid w:val="00825ED8"/>
    <w:rsid w:val="00841902"/>
    <w:rsid w:val="008423C1"/>
    <w:rsid w:val="0084566C"/>
    <w:rsid w:val="008463DA"/>
    <w:rsid w:val="00846BA7"/>
    <w:rsid w:val="0084703B"/>
    <w:rsid w:val="0084712E"/>
    <w:rsid w:val="0085082A"/>
    <w:rsid w:val="00853AB1"/>
    <w:rsid w:val="0085425D"/>
    <w:rsid w:val="008551DD"/>
    <w:rsid w:val="00860235"/>
    <w:rsid w:val="008612D6"/>
    <w:rsid w:val="00863503"/>
    <w:rsid w:val="0086626F"/>
    <w:rsid w:val="008663D3"/>
    <w:rsid w:val="008722CE"/>
    <w:rsid w:val="0087264B"/>
    <w:rsid w:val="00874A7F"/>
    <w:rsid w:val="00876465"/>
    <w:rsid w:val="00880BCB"/>
    <w:rsid w:val="00880D19"/>
    <w:rsid w:val="00882746"/>
    <w:rsid w:val="00885657"/>
    <w:rsid w:val="008906B0"/>
    <w:rsid w:val="00892E93"/>
    <w:rsid w:val="00893F1F"/>
    <w:rsid w:val="008945C3"/>
    <w:rsid w:val="00895F0E"/>
    <w:rsid w:val="0089673D"/>
    <w:rsid w:val="00896877"/>
    <w:rsid w:val="00897EB1"/>
    <w:rsid w:val="008A2C68"/>
    <w:rsid w:val="008B3AB6"/>
    <w:rsid w:val="008B4D33"/>
    <w:rsid w:val="008B5145"/>
    <w:rsid w:val="008B550C"/>
    <w:rsid w:val="008B7BC8"/>
    <w:rsid w:val="008C12B2"/>
    <w:rsid w:val="008C3882"/>
    <w:rsid w:val="008C67BD"/>
    <w:rsid w:val="008D1239"/>
    <w:rsid w:val="008E2622"/>
    <w:rsid w:val="008E2C5C"/>
    <w:rsid w:val="008E3530"/>
    <w:rsid w:val="008E4FCB"/>
    <w:rsid w:val="008F0532"/>
    <w:rsid w:val="008F066C"/>
    <w:rsid w:val="008F1507"/>
    <w:rsid w:val="008F198B"/>
    <w:rsid w:val="008F7FF4"/>
    <w:rsid w:val="00903327"/>
    <w:rsid w:val="00904876"/>
    <w:rsid w:val="0090680C"/>
    <w:rsid w:val="00906E21"/>
    <w:rsid w:val="00907734"/>
    <w:rsid w:val="009077A1"/>
    <w:rsid w:val="00910209"/>
    <w:rsid w:val="00917598"/>
    <w:rsid w:val="00917DC8"/>
    <w:rsid w:val="009222AF"/>
    <w:rsid w:val="009258EB"/>
    <w:rsid w:val="009264C7"/>
    <w:rsid w:val="00926F55"/>
    <w:rsid w:val="00927355"/>
    <w:rsid w:val="00927F24"/>
    <w:rsid w:val="00931B4D"/>
    <w:rsid w:val="00933578"/>
    <w:rsid w:val="00934843"/>
    <w:rsid w:val="0094282A"/>
    <w:rsid w:val="00951A21"/>
    <w:rsid w:val="00954629"/>
    <w:rsid w:val="00954CFA"/>
    <w:rsid w:val="009562E2"/>
    <w:rsid w:val="00956DE4"/>
    <w:rsid w:val="009668B8"/>
    <w:rsid w:val="009679E4"/>
    <w:rsid w:val="009706AB"/>
    <w:rsid w:val="00971E51"/>
    <w:rsid w:val="0097384E"/>
    <w:rsid w:val="009738C4"/>
    <w:rsid w:val="00974B8B"/>
    <w:rsid w:val="00975429"/>
    <w:rsid w:val="00976332"/>
    <w:rsid w:val="00976F12"/>
    <w:rsid w:val="00977D7C"/>
    <w:rsid w:val="00980649"/>
    <w:rsid w:val="009817F8"/>
    <w:rsid w:val="00985A1E"/>
    <w:rsid w:val="00985A93"/>
    <w:rsid w:val="00987724"/>
    <w:rsid w:val="00994264"/>
    <w:rsid w:val="00995C95"/>
    <w:rsid w:val="00997A4E"/>
    <w:rsid w:val="00997F54"/>
    <w:rsid w:val="009A01AF"/>
    <w:rsid w:val="009A0E2B"/>
    <w:rsid w:val="009A3732"/>
    <w:rsid w:val="009A4429"/>
    <w:rsid w:val="009A44D9"/>
    <w:rsid w:val="009A4EC2"/>
    <w:rsid w:val="009A5709"/>
    <w:rsid w:val="009A5C69"/>
    <w:rsid w:val="009A5E34"/>
    <w:rsid w:val="009A7160"/>
    <w:rsid w:val="009B0220"/>
    <w:rsid w:val="009B15AE"/>
    <w:rsid w:val="009B22D8"/>
    <w:rsid w:val="009B25EA"/>
    <w:rsid w:val="009B2F3A"/>
    <w:rsid w:val="009B304D"/>
    <w:rsid w:val="009B32CE"/>
    <w:rsid w:val="009B40D9"/>
    <w:rsid w:val="009B4A2C"/>
    <w:rsid w:val="009B6D4D"/>
    <w:rsid w:val="009B73D9"/>
    <w:rsid w:val="009C54AE"/>
    <w:rsid w:val="009C721A"/>
    <w:rsid w:val="009C7FA7"/>
    <w:rsid w:val="009D078C"/>
    <w:rsid w:val="009D143E"/>
    <w:rsid w:val="009D211C"/>
    <w:rsid w:val="009D2A8B"/>
    <w:rsid w:val="009D3862"/>
    <w:rsid w:val="009D3883"/>
    <w:rsid w:val="009D56B7"/>
    <w:rsid w:val="009D5E95"/>
    <w:rsid w:val="009D6DB8"/>
    <w:rsid w:val="009D7A28"/>
    <w:rsid w:val="009E4666"/>
    <w:rsid w:val="009E4B8F"/>
    <w:rsid w:val="009E4CB9"/>
    <w:rsid w:val="009E640E"/>
    <w:rsid w:val="009F0869"/>
    <w:rsid w:val="009F1B51"/>
    <w:rsid w:val="009F1D1C"/>
    <w:rsid w:val="009F3086"/>
    <w:rsid w:val="009F362F"/>
    <w:rsid w:val="009F373D"/>
    <w:rsid w:val="009F5040"/>
    <w:rsid w:val="009F644C"/>
    <w:rsid w:val="009F7B23"/>
    <w:rsid w:val="00A03212"/>
    <w:rsid w:val="00A03839"/>
    <w:rsid w:val="00A04D82"/>
    <w:rsid w:val="00A0581E"/>
    <w:rsid w:val="00A100D4"/>
    <w:rsid w:val="00A10285"/>
    <w:rsid w:val="00A10F61"/>
    <w:rsid w:val="00A12275"/>
    <w:rsid w:val="00A12AD7"/>
    <w:rsid w:val="00A16A44"/>
    <w:rsid w:val="00A1705B"/>
    <w:rsid w:val="00A1751A"/>
    <w:rsid w:val="00A21305"/>
    <w:rsid w:val="00A219FB"/>
    <w:rsid w:val="00A245DD"/>
    <w:rsid w:val="00A25A90"/>
    <w:rsid w:val="00A25CDE"/>
    <w:rsid w:val="00A3094F"/>
    <w:rsid w:val="00A32A62"/>
    <w:rsid w:val="00A32D0C"/>
    <w:rsid w:val="00A350E9"/>
    <w:rsid w:val="00A3612D"/>
    <w:rsid w:val="00A44480"/>
    <w:rsid w:val="00A46F5D"/>
    <w:rsid w:val="00A474D2"/>
    <w:rsid w:val="00A50539"/>
    <w:rsid w:val="00A50DA0"/>
    <w:rsid w:val="00A5117B"/>
    <w:rsid w:val="00A53145"/>
    <w:rsid w:val="00A53E54"/>
    <w:rsid w:val="00A54BEB"/>
    <w:rsid w:val="00A5587B"/>
    <w:rsid w:val="00A56FCC"/>
    <w:rsid w:val="00A57582"/>
    <w:rsid w:val="00A61063"/>
    <w:rsid w:val="00A61331"/>
    <w:rsid w:val="00A63C29"/>
    <w:rsid w:val="00A63F98"/>
    <w:rsid w:val="00A663F5"/>
    <w:rsid w:val="00A67884"/>
    <w:rsid w:val="00A70F38"/>
    <w:rsid w:val="00A7397C"/>
    <w:rsid w:val="00A74A33"/>
    <w:rsid w:val="00A75949"/>
    <w:rsid w:val="00A779FB"/>
    <w:rsid w:val="00A80968"/>
    <w:rsid w:val="00A816AA"/>
    <w:rsid w:val="00A82111"/>
    <w:rsid w:val="00A83E49"/>
    <w:rsid w:val="00A90563"/>
    <w:rsid w:val="00A93DBF"/>
    <w:rsid w:val="00A943AA"/>
    <w:rsid w:val="00A94BF2"/>
    <w:rsid w:val="00A94EC8"/>
    <w:rsid w:val="00AA42B3"/>
    <w:rsid w:val="00AA4C65"/>
    <w:rsid w:val="00AA70BC"/>
    <w:rsid w:val="00AB0762"/>
    <w:rsid w:val="00AB0DB7"/>
    <w:rsid w:val="00AB0EA8"/>
    <w:rsid w:val="00AB50D9"/>
    <w:rsid w:val="00AB531C"/>
    <w:rsid w:val="00AB537C"/>
    <w:rsid w:val="00AB64AA"/>
    <w:rsid w:val="00AC0699"/>
    <w:rsid w:val="00AC259E"/>
    <w:rsid w:val="00AC50CA"/>
    <w:rsid w:val="00AC6CF4"/>
    <w:rsid w:val="00AC7005"/>
    <w:rsid w:val="00AC79C6"/>
    <w:rsid w:val="00AD13D8"/>
    <w:rsid w:val="00AD16C8"/>
    <w:rsid w:val="00AD3CA7"/>
    <w:rsid w:val="00AD4472"/>
    <w:rsid w:val="00AD460D"/>
    <w:rsid w:val="00AD69BF"/>
    <w:rsid w:val="00AD7211"/>
    <w:rsid w:val="00AE15B3"/>
    <w:rsid w:val="00AE1E44"/>
    <w:rsid w:val="00AE2EB5"/>
    <w:rsid w:val="00AE32E6"/>
    <w:rsid w:val="00AE67CE"/>
    <w:rsid w:val="00AE7394"/>
    <w:rsid w:val="00AF0D2A"/>
    <w:rsid w:val="00AF3856"/>
    <w:rsid w:val="00AF38F4"/>
    <w:rsid w:val="00AF684A"/>
    <w:rsid w:val="00AF6DB2"/>
    <w:rsid w:val="00B0190A"/>
    <w:rsid w:val="00B037C4"/>
    <w:rsid w:val="00B045E1"/>
    <w:rsid w:val="00B04F51"/>
    <w:rsid w:val="00B07AC8"/>
    <w:rsid w:val="00B10606"/>
    <w:rsid w:val="00B11050"/>
    <w:rsid w:val="00B11BF6"/>
    <w:rsid w:val="00B12694"/>
    <w:rsid w:val="00B14614"/>
    <w:rsid w:val="00B14819"/>
    <w:rsid w:val="00B158FA"/>
    <w:rsid w:val="00B15C45"/>
    <w:rsid w:val="00B1608D"/>
    <w:rsid w:val="00B161C5"/>
    <w:rsid w:val="00B16B67"/>
    <w:rsid w:val="00B17984"/>
    <w:rsid w:val="00B17FCC"/>
    <w:rsid w:val="00B2138C"/>
    <w:rsid w:val="00B21EC6"/>
    <w:rsid w:val="00B23076"/>
    <w:rsid w:val="00B2484B"/>
    <w:rsid w:val="00B24A00"/>
    <w:rsid w:val="00B25439"/>
    <w:rsid w:val="00B30102"/>
    <w:rsid w:val="00B310C0"/>
    <w:rsid w:val="00B31540"/>
    <w:rsid w:val="00B31606"/>
    <w:rsid w:val="00B32D35"/>
    <w:rsid w:val="00B33E8A"/>
    <w:rsid w:val="00B408D6"/>
    <w:rsid w:val="00B427F7"/>
    <w:rsid w:val="00B45B55"/>
    <w:rsid w:val="00B501EC"/>
    <w:rsid w:val="00B50C54"/>
    <w:rsid w:val="00B510CB"/>
    <w:rsid w:val="00B5120C"/>
    <w:rsid w:val="00B5293E"/>
    <w:rsid w:val="00B53626"/>
    <w:rsid w:val="00B55D27"/>
    <w:rsid w:val="00B55EFA"/>
    <w:rsid w:val="00B56073"/>
    <w:rsid w:val="00B5647A"/>
    <w:rsid w:val="00B619A3"/>
    <w:rsid w:val="00B621C9"/>
    <w:rsid w:val="00B6421D"/>
    <w:rsid w:val="00B64B70"/>
    <w:rsid w:val="00B65217"/>
    <w:rsid w:val="00B65229"/>
    <w:rsid w:val="00B66140"/>
    <w:rsid w:val="00B67956"/>
    <w:rsid w:val="00B735BE"/>
    <w:rsid w:val="00B7364A"/>
    <w:rsid w:val="00B75E7C"/>
    <w:rsid w:val="00B83757"/>
    <w:rsid w:val="00B83DE8"/>
    <w:rsid w:val="00B86B2D"/>
    <w:rsid w:val="00B87415"/>
    <w:rsid w:val="00B901D2"/>
    <w:rsid w:val="00B929BC"/>
    <w:rsid w:val="00B94B68"/>
    <w:rsid w:val="00B95691"/>
    <w:rsid w:val="00B95E2F"/>
    <w:rsid w:val="00B978BD"/>
    <w:rsid w:val="00B979BA"/>
    <w:rsid w:val="00BA00FF"/>
    <w:rsid w:val="00BA0E38"/>
    <w:rsid w:val="00BA3E1C"/>
    <w:rsid w:val="00BA43EB"/>
    <w:rsid w:val="00BA5F85"/>
    <w:rsid w:val="00BA75F8"/>
    <w:rsid w:val="00BA767D"/>
    <w:rsid w:val="00BB76F9"/>
    <w:rsid w:val="00BC06D9"/>
    <w:rsid w:val="00BC48C0"/>
    <w:rsid w:val="00BC5A14"/>
    <w:rsid w:val="00BC6481"/>
    <w:rsid w:val="00BC6B5A"/>
    <w:rsid w:val="00BC7D68"/>
    <w:rsid w:val="00BD2FBB"/>
    <w:rsid w:val="00BD323C"/>
    <w:rsid w:val="00BD4C26"/>
    <w:rsid w:val="00BD5771"/>
    <w:rsid w:val="00BD7A06"/>
    <w:rsid w:val="00BD7C9D"/>
    <w:rsid w:val="00BE2852"/>
    <w:rsid w:val="00BE2A83"/>
    <w:rsid w:val="00BE4BC8"/>
    <w:rsid w:val="00BE4D81"/>
    <w:rsid w:val="00BE57AE"/>
    <w:rsid w:val="00BE5C58"/>
    <w:rsid w:val="00BE710E"/>
    <w:rsid w:val="00BF08A2"/>
    <w:rsid w:val="00BF0BA7"/>
    <w:rsid w:val="00BF1437"/>
    <w:rsid w:val="00BF1A30"/>
    <w:rsid w:val="00BF25D3"/>
    <w:rsid w:val="00BF5647"/>
    <w:rsid w:val="00BF728A"/>
    <w:rsid w:val="00C00F13"/>
    <w:rsid w:val="00C018F6"/>
    <w:rsid w:val="00C025AB"/>
    <w:rsid w:val="00C04235"/>
    <w:rsid w:val="00C047DD"/>
    <w:rsid w:val="00C075FA"/>
    <w:rsid w:val="00C07772"/>
    <w:rsid w:val="00C152CA"/>
    <w:rsid w:val="00C15FE1"/>
    <w:rsid w:val="00C20B8F"/>
    <w:rsid w:val="00C20B9A"/>
    <w:rsid w:val="00C219D5"/>
    <w:rsid w:val="00C223FE"/>
    <w:rsid w:val="00C2308D"/>
    <w:rsid w:val="00C23183"/>
    <w:rsid w:val="00C244BD"/>
    <w:rsid w:val="00C2562B"/>
    <w:rsid w:val="00C25E8A"/>
    <w:rsid w:val="00C278C9"/>
    <w:rsid w:val="00C30416"/>
    <w:rsid w:val="00C30A6F"/>
    <w:rsid w:val="00C30DF3"/>
    <w:rsid w:val="00C318DE"/>
    <w:rsid w:val="00C33453"/>
    <w:rsid w:val="00C401DE"/>
    <w:rsid w:val="00C405C9"/>
    <w:rsid w:val="00C460E4"/>
    <w:rsid w:val="00C463DC"/>
    <w:rsid w:val="00C5050F"/>
    <w:rsid w:val="00C50F47"/>
    <w:rsid w:val="00C52198"/>
    <w:rsid w:val="00C524B6"/>
    <w:rsid w:val="00C53B05"/>
    <w:rsid w:val="00C53B8B"/>
    <w:rsid w:val="00C5795F"/>
    <w:rsid w:val="00C60D20"/>
    <w:rsid w:val="00C619DC"/>
    <w:rsid w:val="00C64FB1"/>
    <w:rsid w:val="00C67650"/>
    <w:rsid w:val="00C7231A"/>
    <w:rsid w:val="00C734E4"/>
    <w:rsid w:val="00C74B5A"/>
    <w:rsid w:val="00C80319"/>
    <w:rsid w:val="00C81A12"/>
    <w:rsid w:val="00C83DD4"/>
    <w:rsid w:val="00C85BFF"/>
    <w:rsid w:val="00C873A4"/>
    <w:rsid w:val="00C90EA9"/>
    <w:rsid w:val="00CA1224"/>
    <w:rsid w:val="00CA519E"/>
    <w:rsid w:val="00CB165F"/>
    <w:rsid w:val="00CB18A2"/>
    <w:rsid w:val="00CB3621"/>
    <w:rsid w:val="00CB4A68"/>
    <w:rsid w:val="00CC1380"/>
    <w:rsid w:val="00CC47FF"/>
    <w:rsid w:val="00CC7D91"/>
    <w:rsid w:val="00CD08DD"/>
    <w:rsid w:val="00CD1A96"/>
    <w:rsid w:val="00CD2824"/>
    <w:rsid w:val="00CD6203"/>
    <w:rsid w:val="00CD7641"/>
    <w:rsid w:val="00CE05DB"/>
    <w:rsid w:val="00CE0777"/>
    <w:rsid w:val="00CE1474"/>
    <w:rsid w:val="00CE2393"/>
    <w:rsid w:val="00CE26D7"/>
    <w:rsid w:val="00CE2E2F"/>
    <w:rsid w:val="00CE36F1"/>
    <w:rsid w:val="00CE3FF2"/>
    <w:rsid w:val="00CE5260"/>
    <w:rsid w:val="00CE56AB"/>
    <w:rsid w:val="00CE6395"/>
    <w:rsid w:val="00CE6BE3"/>
    <w:rsid w:val="00CE7641"/>
    <w:rsid w:val="00CE77D7"/>
    <w:rsid w:val="00CF0FFD"/>
    <w:rsid w:val="00CF4162"/>
    <w:rsid w:val="00CF4528"/>
    <w:rsid w:val="00CF74B8"/>
    <w:rsid w:val="00D01374"/>
    <w:rsid w:val="00D02E0E"/>
    <w:rsid w:val="00D030AA"/>
    <w:rsid w:val="00D05363"/>
    <w:rsid w:val="00D125AC"/>
    <w:rsid w:val="00D12F91"/>
    <w:rsid w:val="00D14AAA"/>
    <w:rsid w:val="00D155DC"/>
    <w:rsid w:val="00D15C7E"/>
    <w:rsid w:val="00D20D5C"/>
    <w:rsid w:val="00D21EDC"/>
    <w:rsid w:val="00D23502"/>
    <w:rsid w:val="00D237D5"/>
    <w:rsid w:val="00D242BD"/>
    <w:rsid w:val="00D2545E"/>
    <w:rsid w:val="00D256F9"/>
    <w:rsid w:val="00D2714E"/>
    <w:rsid w:val="00D3123C"/>
    <w:rsid w:val="00D336EC"/>
    <w:rsid w:val="00D3373B"/>
    <w:rsid w:val="00D34AAF"/>
    <w:rsid w:val="00D36E59"/>
    <w:rsid w:val="00D40367"/>
    <w:rsid w:val="00D40956"/>
    <w:rsid w:val="00D44FB4"/>
    <w:rsid w:val="00D46BED"/>
    <w:rsid w:val="00D46DD0"/>
    <w:rsid w:val="00D51D58"/>
    <w:rsid w:val="00D53D4E"/>
    <w:rsid w:val="00D55309"/>
    <w:rsid w:val="00D567D8"/>
    <w:rsid w:val="00D56A56"/>
    <w:rsid w:val="00D601BE"/>
    <w:rsid w:val="00D624FA"/>
    <w:rsid w:val="00D643A6"/>
    <w:rsid w:val="00D648DD"/>
    <w:rsid w:val="00D66F15"/>
    <w:rsid w:val="00D71C76"/>
    <w:rsid w:val="00D7210F"/>
    <w:rsid w:val="00D72DDC"/>
    <w:rsid w:val="00D73733"/>
    <w:rsid w:val="00D761A3"/>
    <w:rsid w:val="00D8078E"/>
    <w:rsid w:val="00D8377A"/>
    <w:rsid w:val="00D83D65"/>
    <w:rsid w:val="00D85ED0"/>
    <w:rsid w:val="00D874D3"/>
    <w:rsid w:val="00D87815"/>
    <w:rsid w:val="00D93BE8"/>
    <w:rsid w:val="00D93F81"/>
    <w:rsid w:val="00D94428"/>
    <w:rsid w:val="00D94683"/>
    <w:rsid w:val="00D9558B"/>
    <w:rsid w:val="00D957E5"/>
    <w:rsid w:val="00D95832"/>
    <w:rsid w:val="00D965A7"/>
    <w:rsid w:val="00DA1DA5"/>
    <w:rsid w:val="00DA39F0"/>
    <w:rsid w:val="00DA4A8E"/>
    <w:rsid w:val="00DA52DE"/>
    <w:rsid w:val="00DA673D"/>
    <w:rsid w:val="00DB15E7"/>
    <w:rsid w:val="00DB3214"/>
    <w:rsid w:val="00DB7338"/>
    <w:rsid w:val="00DB7D09"/>
    <w:rsid w:val="00DB7FF7"/>
    <w:rsid w:val="00DC161E"/>
    <w:rsid w:val="00DC4412"/>
    <w:rsid w:val="00DC4F79"/>
    <w:rsid w:val="00DC7BA5"/>
    <w:rsid w:val="00DD02DE"/>
    <w:rsid w:val="00DD1630"/>
    <w:rsid w:val="00DD2160"/>
    <w:rsid w:val="00DD409B"/>
    <w:rsid w:val="00DD5611"/>
    <w:rsid w:val="00DD5986"/>
    <w:rsid w:val="00DE07A3"/>
    <w:rsid w:val="00DE109C"/>
    <w:rsid w:val="00DE2590"/>
    <w:rsid w:val="00DE28F7"/>
    <w:rsid w:val="00DE4286"/>
    <w:rsid w:val="00DE52B1"/>
    <w:rsid w:val="00DE60E8"/>
    <w:rsid w:val="00DE7687"/>
    <w:rsid w:val="00DE7FC8"/>
    <w:rsid w:val="00DF1DD2"/>
    <w:rsid w:val="00DF35FC"/>
    <w:rsid w:val="00DF4C2E"/>
    <w:rsid w:val="00DF5546"/>
    <w:rsid w:val="00E04FA7"/>
    <w:rsid w:val="00E05729"/>
    <w:rsid w:val="00E068EF"/>
    <w:rsid w:val="00E070A0"/>
    <w:rsid w:val="00E07DDF"/>
    <w:rsid w:val="00E106CC"/>
    <w:rsid w:val="00E14889"/>
    <w:rsid w:val="00E14B57"/>
    <w:rsid w:val="00E17897"/>
    <w:rsid w:val="00E20A48"/>
    <w:rsid w:val="00E212CD"/>
    <w:rsid w:val="00E2161F"/>
    <w:rsid w:val="00E23D5C"/>
    <w:rsid w:val="00E26838"/>
    <w:rsid w:val="00E27A1A"/>
    <w:rsid w:val="00E27CD0"/>
    <w:rsid w:val="00E27F4A"/>
    <w:rsid w:val="00E30092"/>
    <w:rsid w:val="00E306FA"/>
    <w:rsid w:val="00E3226A"/>
    <w:rsid w:val="00E33135"/>
    <w:rsid w:val="00E350DA"/>
    <w:rsid w:val="00E40C89"/>
    <w:rsid w:val="00E44314"/>
    <w:rsid w:val="00E5094F"/>
    <w:rsid w:val="00E52A65"/>
    <w:rsid w:val="00E54BAE"/>
    <w:rsid w:val="00E5576F"/>
    <w:rsid w:val="00E56B3D"/>
    <w:rsid w:val="00E57BF2"/>
    <w:rsid w:val="00E6464A"/>
    <w:rsid w:val="00E67278"/>
    <w:rsid w:val="00E717EE"/>
    <w:rsid w:val="00E72A1E"/>
    <w:rsid w:val="00E7312C"/>
    <w:rsid w:val="00E737B5"/>
    <w:rsid w:val="00E74166"/>
    <w:rsid w:val="00E770F5"/>
    <w:rsid w:val="00E77D0D"/>
    <w:rsid w:val="00E80DFC"/>
    <w:rsid w:val="00E8334E"/>
    <w:rsid w:val="00E85A70"/>
    <w:rsid w:val="00E86903"/>
    <w:rsid w:val="00E872FE"/>
    <w:rsid w:val="00E90217"/>
    <w:rsid w:val="00E90FE4"/>
    <w:rsid w:val="00E91488"/>
    <w:rsid w:val="00E915BD"/>
    <w:rsid w:val="00E95A8F"/>
    <w:rsid w:val="00EA13AE"/>
    <w:rsid w:val="00EA73EF"/>
    <w:rsid w:val="00EB1831"/>
    <w:rsid w:val="00EB2F2D"/>
    <w:rsid w:val="00EB3C9F"/>
    <w:rsid w:val="00EB51E7"/>
    <w:rsid w:val="00EB5A34"/>
    <w:rsid w:val="00EB7113"/>
    <w:rsid w:val="00EC06BA"/>
    <w:rsid w:val="00EC599B"/>
    <w:rsid w:val="00EC5C40"/>
    <w:rsid w:val="00EC69A8"/>
    <w:rsid w:val="00EC70F0"/>
    <w:rsid w:val="00ED0581"/>
    <w:rsid w:val="00ED0C20"/>
    <w:rsid w:val="00ED2ACE"/>
    <w:rsid w:val="00ED4BDC"/>
    <w:rsid w:val="00ED76E9"/>
    <w:rsid w:val="00EE0830"/>
    <w:rsid w:val="00EE121C"/>
    <w:rsid w:val="00EE30ED"/>
    <w:rsid w:val="00EE3525"/>
    <w:rsid w:val="00EE45E3"/>
    <w:rsid w:val="00EE552F"/>
    <w:rsid w:val="00EF2FF8"/>
    <w:rsid w:val="00EF4797"/>
    <w:rsid w:val="00EF4DCD"/>
    <w:rsid w:val="00EF62BF"/>
    <w:rsid w:val="00F01310"/>
    <w:rsid w:val="00F01BA7"/>
    <w:rsid w:val="00F07115"/>
    <w:rsid w:val="00F0753E"/>
    <w:rsid w:val="00F12AD1"/>
    <w:rsid w:val="00F12B9C"/>
    <w:rsid w:val="00F12F07"/>
    <w:rsid w:val="00F14147"/>
    <w:rsid w:val="00F148BE"/>
    <w:rsid w:val="00F15E23"/>
    <w:rsid w:val="00F16AA7"/>
    <w:rsid w:val="00F16E09"/>
    <w:rsid w:val="00F16E34"/>
    <w:rsid w:val="00F203C3"/>
    <w:rsid w:val="00F20F82"/>
    <w:rsid w:val="00F2284C"/>
    <w:rsid w:val="00F278F7"/>
    <w:rsid w:val="00F303D0"/>
    <w:rsid w:val="00F30C61"/>
    <w:rsid w:val="00F30E30"/>
    <w:rsid w:val="00F314C9"/>
    <w:rsid w:val="00F31A13"/>
    <w:rsid w:val="00F328B6"/>
    <w:rsid w:val="00F34395"/>
    <w:rsid w:val="00F34CAD"/>
    <w:rsid w:val="00F35D60"/>
    <w:rsid w:val="00F361D9"/>
    <w:rsid w:val="00F40F3A"/>
    <w:rsid w:val="00F4268F"/>
    <w:rsid w:val="00F44C9E"/>
    <w:rsid w:val="00F454F3"/>
    <w:rsid w:val="00F502BF"/>
    <w:rsid w:val="00F516E8"/>
    <w:rsid w:val="00F5236E"/>
    <w:rsid w:val="00F52EEF"/>
    <w:rsid w:val="00F53246"/>
    <w:rsid w:val="00F545A1"/>
    <w:rsid w:val="00F57645"/>
    <w:rsid w:val="00F60474"/>
    <w:rsid w:val="00F6055A"/>
    <w:rsid w:val="00F61B71"/>
    <w:rsid w:val="00F640C3"/>
    <w:rsid w:val="00F66D50"/>
    <w:rsid w:val="00F72AA8"/>
    <w:rsid w:val="00F74B61"/>
    <w:rsid w:val="00F75C6B"/>
    <w:rsid w:val="00F8176E"/>
    <w:rsid w:val="00F82B22"/>
    <w:rsid w:val="00F82D97"/>
    <w:rsid w:val="00F82E5E"/>
    <w:rsid w:val="00F849D0"/>
    <w:rsid w:val="00F8516C"/>
    <w:rsid w:val="00F85910"/>
    <w:rsid w:val="00F867A3"/>
    <w:rsid w:val="00F874BA"/>
    <w:rsid w:val="00F923DE"/>
    <w:rsid w:val="00F961E3"/>
    <w:rsid w:val="00F97788"/>
    <w:rsid w:val="00FA1036"/>
    <w:rsid w:val="00FA24EA"/>
    <w:rsid w:val="00FA28C3"/>
    <w:rsid w:val="00FB1A96"/>
    <w:rsid w:val="00FB59C1"/>
    <w:rsid w:val="00FB635B"/>
    <w:rsid w:val="00FC03C1"/>
    <w:rsid w:val="00FC1AFA"/>
    <w:rsid w:val="00FC4834"/>
    <w:rsid w:val="00FC6ACF"/>
    <w:rsid w:val="00FC74FD"/>
    <w:rsid w:val="00FD0161"/>
    <w:rsid w:val="00FD0E0C"/>
    <w:rsid w:val="00FD12AD"/>
    <w:rsid w:val="00FD3337"/>
    <w:rsid w:val="00FD37E2"/>
    <w:rsid w:val="00FD50E6"/>
    <w:rsid w:val="00FD63D9"/>
    <w:rsid w:val="00FD7AC0"/>
    <w:rsid w:val="00FE3407"/>
    <w:rsid w:val="00FE4131"/>
    <w:rsid w:val="00FE4A0A"/>
    <w:rsid w:val="00FE4D7D"/>
    <w:rsid w:val="00FE5E40"/>
    <w:rsid w:val="00FE6796"/>
    <w:rsid w:val="00FE6AC1"/>
    <w:rsid w:val="00FF016E"/>
    <w:rsid w:val="00FF10DC"/>
    <w:rsid w:val="00FF3A0E"/>
    <w:rsid w:val="00FF3E3A"/>
    <w:rsid w:val="00FF5408"/>
    <w:rsid w:val="01301A70"/>
    <w:rsid w:val="01535EBC"/>
    <w:rsid w:val="01A051A5"/>
    <w:rsid w:val="01AD6336"/>
    <w:rsid w:val="01AD73F5"/>
    <w:rsid w:val="01ED2F4F"/>
    <w:rsid w:val="022005DB"/>
    <w:rsid w:val="02B61011"/>
    <w:rsid w:val="038627B8"/>
    <w:rsid w:val="04115339"/>
    <w:rsid w:val="060B7677"/>
    <w:rsid w:val="061A5313"/>
    <w:rsid w:val="0641548F"/>
    <w:rsid w:val="06492AAF"/>
    <w:rsid w:val="0671338F"/>
    <w:rsid w:val="0676490F"/>
    <w:rsid w:val="0698417D"/>
    <w:rsid w:val="069D2949"/>
    <w:rsid w:val="06CD6568"/>
    <w:rsid w:val="06FE7FDB"/>
    <w:rsid w:val="070754CD"/>
    <w:rsid w:val="072E7F81"/>
    <w:rsid w:val="0734625B"/>
    <w:rsid w:val="07351825"/>
    <w:rsid w:val="0806057A"/>
    <w:rsid w:val="088E4584"/>
    <w:rsid w:val="08D02C41"/>
    <w:rsid w:val="08E73F86"/>
    <w:rsid w:val="094216B7"/>
    <w:rsid w:val="09C00431"/>
    <w:rsid w:val="09C02BBF"/>
    <w:rsid w:val="0ABD67A5"/>
    <w:rsid w:val="0AC74C67"/>
    <w:rsid w:val="0AEC4C33"/>
    <w:rsid w:val="0AF81F7D"/>
    <w:rsid w:val="0AF9651E"/>
    <w:rsid w:val="0BC24B89"/>
    <w:rsid w:val="0BF608EB"/>
    <w:rsid w:val="0C4D5166"/>
    <w:rsid w:val="0D3614D2"/>
    <w:rsid w:val="0D4A190D"/>
    <w:rsid w:val="0D9A18D0"/>
    <w:rsid w:val="0DD0188F"/>
    <w:rsid w:val="0EB94892"/>
    <w:rsid w:val="0F012471"/>
    <w:rsid w:val="0F09353F"/>
    <w:rsid w:val="0F380138"/>
    <w:rsid w:val="0F5F7948"/>
    <w:rsid w:val="10BE71C3"/>
    <w:rsid w:val="11337EFB"/>
    <w:rsid w:val="115713ED"/>
    <w:rsid w:val="11600A16"/>
    <w:rsid w:val="12456039"/>
    <w:rsid w:val="12F66907"/>
    <w:rsid w:val="130A6356"/>
    <w:rsid w:val="1360576D"/>
    <w:rsid w:val="137463DF"/>
    <w:rsid w:val="1426405A"/>
    <w:rsid w:val="14481B6D"/>
    <w:rsid w:val="14E52296"/>
    <w:rsid w:val="15537400"/>
    <w:rsid w:val="15562652"/>
    <w:rsid w:val="1583223F"/>
    <w:rsid w:val="15D64F91"/>
    <w:rsid w:val="15D92473"/>
    <w:rsid w:val="15F546BA"/>
    <w:rsid w:val="15FF414E"/>
    <w:rsid w:val="160E5BA4"/>
    <w:rsid w:val="16595AD6"/>
    <w:rsid w:val="165D02EF"/>
    <w:rsid w:val="168B794A"/>
    <w:rsid w:val="16D1158E"/>
    <w:rsid w:val="17183CCA"/>
    <w:rsid w:val="174428E9"/>
    <w:rsid w:val="17452200"/>
    <w:rsid w:val="176420E2"/>
    <w:rsid w:val="178B74E4"/>
    <w:rsid w:val="18127246"/>
    <w:rsid w:val="18376C5B"/>
    <w:rsid w:val="183C749A"/>
    <w:rsid w:val="185E77BE"/>
    <w:rsid w:val="18A81BCE"/>
    <w:rsid w:val="18BB49A9"/>
    <w:rsid w:val="19AC6797"/>
    <w:rsid w:val="19FE3D52"/>
    <w:rsid w:val="1A680331"/>
    <w:rsid w:val="1A7C2890"/>
    <w:rsid w:val="1AA8733D"/>
    <w:rsid w:val="1B0051DB"/>
    <w:rsid w:val="1B324FB0"/>
    <w:rsid w:val="1B5653C7"/>
    <w:rsid w:val="1B975ED5"/>
    <w:rsid w:val="1BAF2B27"/>
    <w:rsid w:val="1C594598"/>
    <w:rsid w:val="1C7976A4"/>
    <w:rsid w:val="1C8735BD"/>
    <w:rsid w:val="1D0B0A16"/>
    <w:rsid w:val="1D650CC3"/>
    <w:rsid w:val="1DF36F10"/>
    <w:rsid w:val="1E1A3914"/>
    <w:rsid w:val="1EC63D7C"/>
    <w:rsid w:val="1EE13120"/>
    <w:rsid w:val="1F4D61EB"/>
    <w:rsid w:val="1F9A6A11"/>
    <w:rsid w:val="207E6C00"/>
    <w:rsid w:val="20B2740F"/>
    <w:rsid w:val="21396CB8"/>
    <w:rsid w:val="21AA7CA6"/>
    <w:rsid w:val="21FF2B6B"/>
    <w:rsid w:val="228A73C5"/>
    <w:rsid w:val="22B15D07"/>
    <w:rsid w:val="22DF7DFC"/>
    <w:rsid w:val="23121934"/>
    <w:rsid w:val="232A5AF9"/>
    <w:rsid w:val="238555C9"/>
    <w:rsid w:val="23A32375"/>
    <w:rsid w:val="23C522A4"/>
    <w:rsid w:val="245501C2"/>
    <w:rsid w:val="24E07E36"/>
    <w:rsid w:val="25027CEC"/>
    <w:rsid w:val="251A47DB"/>
    <w:rsid w:val="25D474A1"/>
    <w:rsid w:val="25E01AE5"/>
    <w:rsid w:val="260C0C73"/>
    <w:rsid w:val="263458F1"/>
    <w:rsid w:val="26C679EB"/>
    <w:rsid w:val="27240F9C"/>
    <w:rsid w:val="272B664F"/>
    <w:rsid w:val="27D0173F"/>
    <w:rsid w:val="281B2B80"/>
    <w:rsid w:val="28227A69"/>
    <w:rsid w:val="28E6016C"/>
    <w:rsid w:val="28E61363"/>
    <w:rsid w:val="28F81A01"/>
    <w:rsid w:val="29630D60"/>
    <w:rsid w:val="29976826"/>
    <w:rsid w:val="2A447D96"/>
    <w:rsid w:val="2AA27CAB"/>
    <w:rsid w:val="2B0651FF"/>
    <w:rsid w:val="2B9332FF"/>
    <w:rsid w:val="2BBE7D2C"/>
    <w:rsid w:val="2BEE5854"/>
    <w:rsid w:val="2C897AD5"/>
    <w:rsid w:val="2D2C75CF"/>
    <w:rsid w:val="2D4C2D0F"/>
    <w:rsid w:val="2D7C306D"/>
    <w:rsid w:val="2D8C25BE"/>
    <w:rsid w:val="2DD90901"/>
    <w:rsid w:val="2E5D0DE4"/>
    <w:rsid w:val="2EBA6468"/>
    <w:rsid w:val="2ED647A7"/>
    <w:rsid w:val="2ED6546B"/>
    <w:rsid w:val="2ED96FE6"/>
    <w:rsid w:val="2EFD6C01"/>
    <w:rsid w:val="2F4F3840"/>
    <w:rsid w:val="2F9D42C1"/>
    <w:rsid w:val="2FA616B9"/>
    <w:rsid w:val="2FA874B2"/>
    <w:rsid w:val="2FEF61B9"/>
    <w:rsid w:val="307562FE"/>
    <w:rsid w:val="308835B0"/>
    <w:rsid w:val="30A17FDC"/>
    <w:rsid w:val="30C1111D"/>
    <w:rsid w:val="30F811AB"/>
    <w:rsid w:val="312253DC"/>
    <w:rsid w:val="313E40CB"/>
    <w:rsid w:val="3186794B"/>
    <w:rsid w:val="318F0C07"/>
    <w:rsid w:val="31E871BF"/>
    <w:rsid w:val="31F01E96"/>
    <w:rsid w:val="320870E0"/>
    <w:rsid w:val="3210025C"/>
    <w:rsid w:val="32352F48"/>
    <w:rsid w:val="3297664C"/>
    <w:rsid w:val="32B86216"/>
    <w:rsid w:val="32D6021D"/>
    <w:rsid w:val="33456D0A"/>
    <w:rsid w:val="334C77CF"/>
    <w:rsid w:val="335E5AD0"/>
    <w:rsid w:val="33ED4BAD"/>
    <w:rsid w:val="345676E2"/>
    <w:rsid w:val="345C691A"/>
    <w:rsid w:val="345E214B"/>
    <w:rsid w:val="34BD1D33"/>
    <w:rsid w:val="35DC2BCB"/>
    <w:rsid w:val="35E60492"/>
    <w:rsid w:val="3621189E"/>
    <w:rsid w:val="36405BAA"/>
    <w:rsid w:val="36837E96"/>
    <w:rsid w:val="36C74C41"/>
    <w:rsid w:val="36E81D5E"/>
    <w:rsid w:val="379F2C44"/>
    <w:rsid w:val="387C43FD"/>
    <w:rsid w:val="387D7DFF"/>
    <w:rsid w:val="38AD14DD"/>
    <w:rsid w:val="38DB08A3"/>
    <w:rsid w:val="3971511E"/>
    <w:rsid w:val="397C2D3D"/>
    <w:rsid w:val="39AF4AF7"/>
    <w:rsid w:val="3A060D37"/>
    <w:rsid w:val="3A815CFC"/>
    <w:rsid w:val="3ADC246A"/>
    <w:rsid w:val="3AE8609C"/>
    <w:rsid w:val="3B502CC1"/>
    <w:rsid w:val="3B516760"/>
    <w:rsid w:val="3B6E6EB4"/>
    <w:rsid w:val="3B6F005A"/>
    <w:rsid w:val="3BB448C9"/>
    <w:rsid w:val="3C8A3F43"/>
    <w:rsid w:val="3CFE08DB"/>
    <w:rsid w:val="3D690B94"/>
    <w:rsid w:val="3D7A7192"/>
    <w:rsid w:val="3DB138D5"/>
    <w:rsid w:val="3DB40E70"/>
    <w:rsid w:val="3E3B24BF"/>
    <w:rsid w:val="3E6C3FAF"/>
    <w:rsid w:val="3E8E0FDF"/>
    <w:rsid w:val="3EA51E2C"/>
    <w:rsid w:val="3EAC040D"/>
    <w:rsid w:val="3EF34B07"/>
    <w:rsid w:val="3F72094D"/>
    <w:rsid w:val="3FC52740"/>
    <w:rsid w:val="401A03CE"/>
    <w:rsid w:val="406D1780"/>
    <w:rsid w:val="411B4824"/>
    <w:rsid w:val="413D5C6F"/>
    <w:rsid w:val="4181493C"/>
    <w:rsid w:val="41A22AC3"/>
    <w:rsid w:val="41DE0C28"/>
    <w:rsid w:val="42C579CC"/>
    <w:rsid w:val="42C62A86"/>
    <w:rsid w:val="434314FE"/>
    <w:rsid w:val="435C52D6"/>
    <w:rsid w:val="43645516"/>
    <w:rsid w:val="437A2C86"/>
    <w:rsid w:val="44241DDE"/>
    <w:rsid w:val="44276889"/>
    <w:rsid w:val="44530233"/>
    <w:rsid w:val="44EB798A"/>
    <w:rsid w:val="45642F6A"/>
    <w:rsid w:val="459C36BB"/>
    <w:rsid w:val="464E293A"/>
    <w:rsid w:val="467D0950"/>
    <w:rsid w:val="469A4E5F"/>
    <w:rsid w:val="470569E4"/>
    <w:rsid w:val="4706752E"/>
    <w:rsid w:val="475E2800"/>
    <w:rsid w:val="47A706EE"/>
    <w:rsid w:val="47DA195B"/>
    <w:rsid w:val="488A01D5"/>
    <w:rsid w:val="48BC0178"/>
    <w:rsid w:val="490B58A7"/>
    <w:rsid w:val="491A0CE2"/>
    <w:rsid w:val="493C077D"/>
    <w:rsid w:val="49587306"/>
    <w:rsid w:val="49A9444F"/>
    <w:rsid w:val="49EE28F9"/>
    <w:rsid w:val="4A1242B7"/>
    <w:rsid w:val="4A20103D"/>
    <w:rsid w:val="4A2631E4"/>
    <w:rsid w:val="4A9061CF"/>
    <w:rsid w:val="4A955F53"/>
    <w:rsid w:val="4B144D40"/>
    <w:rsid w:val="4B4107D0"/>
    <w:rsid w:val="4B805A5F"/>
    <w:rsid w:val="4BFD2C74"/>
    <w:rsid w:val="4C234937"/>
    <w:rsid w:val="4C272014"/>
    <w:rsid w:val="4C2B36E5"/>
    <w:rsid w:val="4C9E0B90"/>
    <w:rsid w:val="4D81453D"/>
    <w:rsid w:val="4DCB1184"/>
    <w:rsid w:val="4DDD5294"/>
    <w:rsid w:val="4E68191A"/>
    <w:rsid w:val="4E8F1021"/>
    <w:rsid w:val="4E960D48"/>
    <w:rsid w:val="4EE707FB"/>
    <w:rsid w:val="4F3E18B2"/>
    <w:rsid w:val="4FB17A29"/>
    <w:rsid w:val="50CB4649"/>
    <w:rsid w:val="51057F79"/>
    <w:rsid w:val="51475CC0"/>
    <w:rsid w:val="51694330"/>
    <w:rsid w:val="51AF698E"/>
    <w:rsid w:val="52E71FB4"/>
    <w:rsid w:val="53B54782"/>
    <w:rsid w:val="54494545"/>
    <w:rsid w:val="547B4879"/>
    <w:rsid w:val="54AA0A30"/>
    <w:rsid w:val="54CB7EA9"/>
    <w:rsid w:val="55EB77C0"/>
    <w:rsid w:val="562F0357"/>
    <w:rsid w:val="564F69B6"/>
    <w:rsid w:val="566E1BF3"/>
    <w:rsid w:val="569F775B"/>
    <w:rsid w:val="57303A7C"/>
    <w:rsid w:val="57481A8E"/>
    <w:rsid w:val="58337254"/>
    <w:rsid w:val="58E00C77"/>
    <w:rsid w:val="59526204"/>
    <w:rsid w:val="59AD0C40"/>
    <w:rsid w:val="59AD1538"/>
    <w:rsid w:val="59C23FD3"/>
    <w:rsid w:val="5A0B5E95"/>
    <w:rsid w:val="5A246F57"/>
    <w:rsid w:val="5A377F44"/>
    <w:rsid w:val="5A742D4C"/>
    <w:rsid w:val="5ACA6272"/>
    <w:rsid w:val="5AF00B1A"/>
    <w:rsid w:val="5AF95A23"/>
    <w:rsid w:val="5B4E0B38"/>
    <w:rsid w:val="5B5E75EC"/>
    <w:rsid w:val="5B9613B7"/>
    <w:rsid w:val="5BCB44AB"/>
    <w:rsid w:val="5BE96D14"/>
    <w:rsid w:val="5BF13CF3"/>
    <w:rsid w:val="5C2B273D"/>
    <w:rsid w:val="5C8C55D5"/>
    <w:rsid w:val="5CBF18BC"/>
    <w:rsid w:val="5CF07939"/>
    <w:rsid w:val="5D196D19"/>
    <w:rsid w:val="5D2802F3"/>
    <w:rsid w:val="5D80343C"/>
    <w:rsid w:val="5E022EA9"/>
    <w:rsid w:val="5E164D40"/>
    <w:rsid w:val="5EA1196F"/>
    <w:rsid w:val="5EBA0F5F"/>
    <w:rsid w:val="5EEA4CD2"/>
    <w:rsid w:val="5F046F44"/>
    <w:rsid w:val="5F1F06B8"/>
    <w:rsid w:val="5F4F7A12"/>
    <w:rsid w:val="5F9C495E"/>
    <w:rsid w:val="60A239C9"/>
    <w:rsid w:val="60FA6D79"/>
    <w:rsid w:val="613A17BA"/>
    <w:rsid w:val="617F1A46"/>
    <w:rsid w:val="62184B39"/>
    <w:rsid w:val="622007D5"/>
    <w:rsid w:val="626D1426"/>
    <w:rsid w:val="62C74C67"/>
    <w:rsid w:val="637558D0"/>
    <w:rsid w:val="637B5306"/>
    <w:rsid w:val="63851CFD"/>
    <w:rsid w:val="63B12810"/>
    <w:rsid w:val="63FE0FD3"/>
    <w:rsid w:val="6530763D"/>
    <w:rsid w:val="6531024B"/>
    <w:rsid w:val="66257BD6"/>
    <w:rsid w:val="667C7C00"/>
    <w:rsid w:val="668E1C3C"/>
    <w:rsid w:val="66F44120"/>
    <w:rsid w:val="67390939"/>
    <w:rsid w:val="676C2CBF"/>
    <w:rsid w:val="68791231"/>
    <w:rsid w:val="68BF756D"/>
    <w:rsid w:val="68CE27BB"/>
    <w:rsid w:val="691F09A3"/>
    <w:rsid w:val="69500604"/>
    <w:rsid w:val="696D08E0"/>
    <w:rsid w:val="69C15A14"/>
    <w:rsid w:val="69CC2B0F"/>
    <w:rsid w:val="6A8848D8"/>
    <w:rsid w:val="6AC10B58"/>
    <w:rsid w:val="6B8954B5"/>
    <w:rsid w:val="6BAE42B9"/>
    <w:rsid w:val="6BDF5F4E"/>
    <w:rsid w:val="6C50014D"/>
    <w:rsid w:val="6C597288"/>
    <w:rsid w:val="6C612D7E"/>
    <w:rsid w:val="6C9D1BCF"/>
    <w:rsid w:val="6D3470DE"/>
    <w:rsid w:val="6D914092"/>
    <w:rsid w:val="6D9B3A9B"/>
    <w:rsid w:val="6EC13E48"/>
    <w:rsid w:val="6EDC23DD"/>
    <w:rsid w:val="6F0F18E5"/>
    <w:rsid w:val="6F165DBC"/>
    <w:rsid w:val="6F364B5F"/>
    <w:rsid w:val="6F3E4050"/>
    <w:rsid w:val="6F5817A4"/>
    <w:rsid w:val="6F5B5650"/>
    <w:rsid w:val="6F660F70"/>
    <w:rsid w:val="6F92795A"/>
    <w:rsid w:val="6FA37BFA"/>
    <w:rsid w:val="705052FB"/>
    <w:rsid w:val="70AD0488"/>
    <w:rsid w:val="70ED5338"/>
    <w:rsid w:val="70F161A9"/>
    <w:rsid w:val="713E6EBD"/>
    <w:rsid w:val="714E09F3"/>
    <w:rsid w:val="717362D3"/>
    <w:rsid w:val="71FA1C5E"/>
    <w:rsid w:val="72054BED"/>
    <w:rsid w:val="720B608D"/>
    <w:rsid w:val="72323F70"/>
    <w:rsid w:val="72422A0F"/>
    <w:rsid w:val="729E7714"/>
    <w:rsid w:val="73A96C48"/>
    <w:rsid w:val="743301F6"/>
    <w:rsid w:val="74527DA5"/>
    <w:rsid w:val="748847CC"/>
    <w:rsid w:val="74B843B3"/>
    <w:rsid w:val="74DA7702"/>
    <w:rsid w:val="75127471"/>
    <w:rsid w:val="751471B8"/>
    <w:rsid w:val="75FA352D"/>
    <w:rsid w:val="7614349B"/>
    <w:rsid w:val="761E064F"/>
    <w:rsid w:val="767D2049"/>
    <w:rsid w:val="768207A5"/>
    <w:rsid w:val="76A2179B"/>
    <w:rsid w:val="76D51348"/>
    <w:rsid w:val="76D66050"/>
    <w:rsid w:val="770352EE"/>
    <w:rsid w:val="77565832"/>
    <w:rsid w:val="776E4150"/>
    <w:rsid w:val="77890BDB"/>
    <w:rsid w:val="77D3660D"/>
    <w:rsid w:val="785437D3"/>
    <w:rsid w:val="78565AAF"/>
    <w:rsid w:val="78BE7CBA"/>
    <w:rsid w:val="78DD3131"/>
    <w:rsid w:val="79430348"/>
    <w:rsid w:val="79701A39"/>
    <w:rsid w:val="7A082988"/>
    <w:rsid w:val="7A1C10FB"/>
    <w:rsid w:val="7A424D7F"/>
    <w:rsid w:val="7A4D4FC3"/>
    <w:rsid w:val="7AB87EDD"/>
    <w:rsid w:val="7AE64B83"/>
    <w:rsid w:val="7B002162"/>
    <w:rsid w:val="7B124FB7"/>
    <w:rsid w:val="7B361A8A"/>
    <w:rsid w:val="7BAE5A06"/>
    <w:rsid w:val="7BDF1C40"/>
    <w:rsid w:val="7CB818B8"/>
    <w:rsid w:val="7CD50713"/>
    <w:rsid w:val="7D8C5E76"/>
    <w:rsid w:val="7DA0352B"/>
    <w:rsid w:val="7DB019FA"/>
    <w:rsid w:val="7DCC7103"/>
    <w:rsid w:val="7DDB2B1D"/>
    <w:rsid w:val="7E8D32EE"/>
    <w:rsid w:val="7E8E0310"/>
    <w:rsid w:val="7F1D5ECC"/>
    <w:rsid w:val="7F8E7BAE"/>
    <w:rsid w:val="7FAC7F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E97AD9C1-FDA0-445B-9040-29B1CE7035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qFormat="1"/>
    <w:lsdException w:name="header" w:qFormat="1"/>
    <w:lsdException w:name="footer" w:qFormat="1"/>
    <w:lsdException w:name="caption" w:qFormat="1"/>
    <w:lsdException w:name="annotation reference" w:qFormat="1"/>
    <w:lsdException w:name="Title" w:qFormat="1"/>
    <w:lsdException w:name="Default Paragraph Font" w:semiHidden="1" w:uiPriority="1" w:unhideWhenUsed="1"/>
    <w:lsdException w:name="Body Text"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semiHidden="1" w:uiPriority="59" w:unhideWhenUsed="1"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60" w:line="259" w:lineRule="auto"/>
    </w:pPr>
    <w:rPr>
      <w:rFonts w:asciiTheme="minorHAnsi" w:eastAsiaTheme="minorEastAsia" w:hAnsiTheme="minorHAnsi" w:cstheme="minorBidi"/>
      <w:sz w:val="22"/>
      <w:szCs w:val="22"/>
    </w:rPr>
  </w:style>
  <w:style w:type="paragraph" w:styleId="1">
    <w:name w:val="heading 1"/>
    <w:next w:val="a"/>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cs="Arial"/>
      <w:sz w:val="36"/>
      <w:szCs w:val="36"/>
      <w:lang w:val="en-GB"/>
    </w:rPr>
  </w:style>
  <w:style w:type="paragraph" w:styleId="2">
    <w:name w:val="heading 2"/>
    <w:basedOn w:val="1"/>
    <w:next w:val="a"/>
    <w:link w:val="2Char"/>
    <w:uiPriority w:val="9"/>
    <w:qFormat/>
    <w:pPr>
      <w:numPr>
        <w:numId w:val="0"/>
      </w:numPr>
      <w:pBdr>
        <w:top w:val="none" w:sz="0" w:space="0" w:color="auto"/>
      </w:pBdr>
      <w:spacing w:before="180"/>
      <w:outlineLvl w:val="1"/>
    </w:pPr>
    <w:rPr>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Char"/>
    <w:qFormat/>
    <w:pPr>
      <w:autoSpaceDE w:val="0"/>
      <w:autoSpaceDN w:val="0"/>
      <w:adjustRightInd w:val="0"/>
      <w:snapToGrid w:val="0"/>
      <w:spacing w:after="120" w:line="240" w:lineRule="auto"/>
      <w:jc w:val="center"/>
    </w:pPr>
    <w:rPr>
      <w:rFonts w:ascii="Times New Roman" w:eastAsia="宋体" w:hAnsi="Times New Roman" w:cs="Times New Roman"/>
      <w:b/>
      <w:bCs/>
      <w:kern w:val="2"/>
      <w:sz w:val="20"/>
      <w:szCs w:val="20"/>
      <w:lang w:val="en-GB"/>
    </w:rPr>
  </w:style>
  <w:style w:type="paragraph" w:styleId="a4">
    <w:name w:val="annotation text"/>
    <w:basedOn w:val="a"/>
    <w:link w:val="Char0"/>
    <w:qFormat/>
  </w:style>
  <w:style w:type="paragraph" w:styleId="a5">
    <w:name w:val="Body Text"/>
    <w:basedOn w:val="a"/>
    <w:link w:val="Char1"/>
    <w:qFormat/>
    <w:pPr>
      <w:spacing w:after="180" w:line="240" w:lineRule="auto"/>
    </w:pPr>
    <w:rPr>
      <w:rFonts w:ascii="Times New Roman" w:hAnsi="Times New Roman" w:cs="Times New Roman"/>
      <w:sz w:val="20"/>
      <w:szCs w:val="20"/>
      <w:lang w:val="en-GB" w:eastAsia="en-US"/>
    </w:rPr>
  </w:style>
  <w:style w:type="paragraph" w:styleId="a6">
    <w:name w:val="Balloon Text"/>
    <w:basedOn w:val="a"/>
    <w:link w:val="Char2"/>
    <w:qFormat/>
    <w:pPr>
      <w:spacing w:after="0" w:line="240" w:lineRule="auto"/>
    </w:pPr>
    <w:rPr>
      <w:sz w:val="18"/>
      <w:szCs w:val="18"/>
    </w:rPr>
  </w:style>
  <w:style w:type="paragraph" w:styleId="a7">
    <w:name w:val="footer"/>
    <w:basedOn w:val="a"/>
    <w:link w:val="Char3"/>
    <w:qFormat/>
    <w:pPr>
      <w:tabs>
        <w:tab w:val="center" w:pos="4153"/>
        <w:tab w:val="right" w:pos="8306"/>
      </w:tabs>
      <w:snapToGrid w:val="0"/>
      <w:spacing w:line="240" w:lineRule="auto"/>
    </w:pPr>
    <w:rPr>
      <w:sz w:val="18"/>
      <w:szCs w:val="18"/>
    </w:rPr>
  </w:style>
  <w:style w:type="paragraph" w:styleId="a8">
    <w:name w:val="header"/>
    <w:basedOn w:val="a"/>
    <w:link w:val="Char4"/>
    <w:qFormat/>
    <w:pPr>
      <w:pBdr>
        <w:bottom w:val="single" w:sz="6" w:space="1" w:color="auto"/>
      </w:pBdr>
      <w:tabs>
        <w:tab w:val="center" w:pos="4153"/>
        <w:tab w:val="right" w:pos="8306"/>
      </w:tabs>
      <w:snapToGrid w:val="0"/>
      <w:spacing w:line="240" w:lineRule="auto"/>
      <w:jc w:val="center"/>
    </w:pPr>
    <w:rPr>
      <w:sz w:val="18"/>
      <w:szCs w:val="18"/>
    </w:rPr>
  </w:style>
  <w:style w:type="paragraph" w:styleId="a9">
    <w:name w:val="annotation subject"/>
    <w:basedOn w:val="a4"/>
    <w:next w:val="a4"/>
    <w:link w:val="Char5"/>
    <w:qFormat/>
    <w:rPr>
      <w:b/>
      <w:bCs/>
    </w:rPr>
  </w:style>
  <w:style w:type="table" w:styleId="aa">
    <w:name w:val="Table Grid"/>
    <w:basedOn w:val="a1"/>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basedOn w:val="a0"/>
    <w:qFormat/>
    <w:rPr>
      <w:sz w:val="21"/>
      <w:szCs w:val="21"/>
    </w:rPr>
  </w:style>
  <w:style w:type="paragraph" w:customStyle="1" w:styleId="TH">
    <w:name w:val="TH"/>
    <w:basedOn w:val="a"/>
    <w:qFormat/>
    <w:pPr>
      <w:keepNext/>
      <w:keepLines/>
      <w:spacing w:before="60"/>
      <w:jc w:val="center"/>
    </w:pPr>
    <w:rPr>
      <w:rFonts w:ascii="Arial" w:hAnsi="Arial"/>
      <w:b/>
    </w:rPr>
  </w:style>
  <w:style w:type="paragraph" w:customStyle="1" w:styleId="EW">
    <w:name w:val="EW"/>
    <w:basedOn w:val="EX"/>
    <w:qFormat/>
    <w:pPr>
      <w:spacing w:after="0"/>
    </w:pPr>
  </w:style>
  <w:style w:type="paragraph" w:customStyle="1" w:styleId="EX">
    <w:name w:val="EX"/>
    <w:basedOn w:val="a"/>
    <w:uiPriority w:val="99"/>
    <w:qFormat/>
    <w:pPr>
      <w:keepLines/>
      <w:ind w:left="1702" w:hanging="1418"/>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AR">
    <w:name w:val="TAR"/>
    <w:basedOn w:val="TAL"/>
    <w:qFormat/>
    <w:pPr>
      <w:jc w:val="right"/>
    </w:pPr>
  </w:style>
  <w:style w:type="paragraph" w:customStyle="1" w:styleId="Proposal">
    <w:name w:val="Proposal"/>
    <w:basedOn w:val="a"/>
    <w:qFormat/>
    <w:pPr>
      <w:widowControl w:val="0"/>
      <w:numPr>
        <w:numId w:val="2"/>
      </w:numPr>
      <w:tabs>
        <w:tab w:val="left" w:pos="1701"/>
      </w:tabs>
      <w:spacing w:after="0" w:line="240" w:lineRule="auto"/>
      <w:jc w:val="both"/>
    </w:pPr>
    <w:rPr>
      <w:rFonts w:eastAsia="宋体"/>
      <w:b/>
      <w:bCs/>
      <w:kern w:val="2"/>
      <w:sz w:val="21"/>
    </w:rPr>
  </w:style>
  <w:style w:type="paragraph" w:customStyle="1" w:styleId="3GPPHeader">
    <w:name w:val="3GPP_Header"/>
    <w:basedOn w:val="a"/>
    <w:qFormat/>
    <w:pPr>
      <w:widowControl w:val="0"/>
      <w:tabs>
        <w:tab w:val="left" w:pos="1800"/>
        <w:tab w:val="right" w:pos="9360"/>
      </w:tabs>
      <w:spacing w:after="0" w:line="240" w:lineRule="auto"/>
      <w:jc w:val="both"/>
    </w:pPr>
    <w:rPr>
      <w:rFonts w:ascii="Arial" w:eastAsia="宋体" w:hAnsi="Arial"/>
      <w:b/>
      <w:kern w:val="2"/>
      <w:sz w:val="21"/>
    </w:rPr>
  </w:style>
  <w:style w:type="paragraph" w:customStyle="1" w:styleId="ListParagraph1">
    <w:name w:val="List Paragraph1"/>
    <w:basedOn w:val="a"/>
    <w:link w:val="ListParagraphChar"/>
    <w:uiPriority w:val="34"/>
    <w:qFormat/>
    <w:pPr>
      <w:ind w:left="720"/>
      <w:contextualSpacing/>
    </w:pPr>
  </w:style>
  <w:style w:type="character" w:customStyle="1" w:styleId="Char2">
    <w:name w:val="批注框文本 Char"/>
    <w:basedOn w:val="a0"/>
    <w:link w:val="a6"/>
    <w:qFormat/>
    <w:rPr>
      <w:rFonts w:asciiTheme="minorHAnsi" w:eastAsiaTheme="minorEastAsia" w:hAnsiTheme="minorHAnsi" w:cstheme="minorBidi"/>
      <w:sz w:val="18"/>
      <w:szCs w:val="18"/>
    </w:rPr>
  </w:style>
  <w:style w:type="paragraph" w:styleId="ac">
    <w:name w:val="List Paragraph"/>
    <w:basedOn w:val="a"/>
    <w:uiPriority w:val="99"/>
    <w:qFormat/>
    <w:pPr>
      <w:ind w:firstLineChars="200" w:firstLine="420"/>
    </w:pPr>
  </w:style>
  <w:style w:type="character" w:customStyle="1" w:styleId="Char0">
    <w:name w:val="批注文字 Char"/>
    <w:basedOn w:val="a0"/>
    <w:link w:val="a4"/>
    <w:qFormat/>
    <w:rPr>
      <w:rFonts w:asciiTheme="minorHAnsi" w:eastAsiaTheme="minorEastAsia" w:hAnsiTheme="minorHAnsi" w:cstheme="minorBidi"/>
      <w:sz w:val="22"/>
      <w:szCs w:val="22"/>
    </w:rPr>
  </w:style>
  <w:style w:type="character" w:customStyle="1" w:styleId="Char5">
    <w:name w:val="批注主题 Char"/>
    <w:basedOn w:val="Char0"/>
    <w:link w:val="a9"/>
    <w:qFormat/>
    <w:rPr>
      <w:rFonts w:asciiTheme="minorHAnsi" w:eastAsiaTheme="minorEastAsia" w:hAnsiTheme="minorHAnsi" w:cstheme="minorBidi"/>
      <w:b/>
      <w:bCs/>
      <w:sz w:val="22"/>
      <w:szCs w:val="22"/>
    </w:rPr>
  </w:style>
  <w:style w:type="character" w:customStyle="1" w:styleId="ListParagraphChar">
    <w:name w:val="List Paragraph Char"/>
    <w:link w:val="ListParagraph1"/>
    <w:uiPriority w:val="34"/>
    <w:qFormat/>
    <w:rPr>
      <w:rFonts w:asciiTheme="minorHAnsi" w:eastAsiaTheme="minorEastAsia" w:hAnsiTheme="minorHAnsi" w:cstheme="minorBidi"/>
      <w:sz w:val="22"/>
      <w:szCs w:val="22"/>
    </w:rPr>
  </w:style>
  <w:style w:type="character" w:customStyle="1" w:styleId="Char4">
    <w:name w:val="页眉 Char"/>
    <w:basedOn w:val="a0"/>
    <w:link w:val="a8"/>
    <w:qFormat/>
    <w:rPr>
      <w:rFonts w:asciiTheme="minorHAnsi" w:eastAsiaTheme="minorEastAsia" w:hAnsiTheme="minorHAnsi" w:cstheme="minorBidi"/>
      <w:sz w:val="18"/>
      <w:szCs w:val="18"/>
    </w:rPr>
  </w:style>
  <w:style w:type="character" w:customStyle="1" w:styleId="Char3">
    <w:name w:val="页脚 Char"/>
    <w:basedOn w:val="a0"/>
    <w:link w:val="a7"/>
    <w:qFormat/>
    <w:rPr>
      <w:rFonts w:asciiTheme="minorHAnsi" w:eastAsiaTheme="minorEastAsia" w:hAnsiTheme="minorHAnsi" w:cstheme="minorBidi"/>
      <w:sz w:val="18"/>
      <w:szCs w:val="18"/>
    </w:rPr>
  </w:style>
  <w:style w:type="character" w:customStyle="1" w:styleId="Char">
    <w:name w:val="题注 Char"/>
    <w:link w:val="a3"/>
    <w:qFormat/>
    <w:rPr>
      <w:rFonts w:eastAsia="宋体"/>
      <w:b/>
      <w:bCs/>
      <w:kern w:val="2"/>
      <w:lang w:val="en-GB"/>
    </w:rPr>
  </w:style>
  <w:style w:type="character" w:customStyle="1" w:styleId="Char1">
    <w:name w:val="正文文本 Char"/>
    <w:basedOn w:val="a0"/>
    <w:link w:val="a5"/>
    <w:qFormat/>
    <w:rPr>
      <w:rFonts w:eastAsiaTheme="minorEastAsia"/>
      <w:lang w:val="en-GB" w:eastAsia="en-US"/>
    </w:rPr>
  </w:style>
  <w:style w:type="paragraph" w:customStyle="1" w:styleId="10">
    <w:name w:val="正文1"/>
    <w:qFormat/>
    <w:pPr>
      <w:spacing w:before="100" w:beforeAutospacing="1" w:after="180"/>
    </w:pPr>
    <w:rPr>
      <w:rFonts w:eastAsia="宋体"/>
      <w:sz w:val="24"/>
      <w:szCs w:val="24"/>
    </w:rPr>
  </w:style>
  <w:style w:type="paragraph" w:customStyle="1" w:styleId="Revision1">
    <w:name w:val="Revision1"/>
    <w:hidden/>
    <w:uiPriority w:val="99"/>
    <w:semiHidden/>
    <w:qFormat/>
    <w:rPr>
      <w:rFonts w:asciiTheme="minorHAnsi" w:eastAsiaTheme="minorEastAsia" w:hAnsiTheme="minorHAnsi" w:cstheme="minorBidi"/>
      <w:sz w:val="22"/>
      <w:szCs w:val="22"/>
    </w:rPr>
  </w:style>
  <w:style w:type="character" w:customStyle="1" w:styleId="apple-converted-space">
    <w:name w:val="apple-converted-space"/>
    <w:basedOn w:val="a0"/>
    <w:qFormat/>
  </w:style>
  <w:style w:type="paragraph" w:customStyle="1" w:styleId="Reference">
    <w:name w:val="Reference"/>
    <w:basedOn w:val="a"/>
    <w:qFormat/>
    <w:pPr>
      <w:numPr>
        <w:numId w:val="3"/>
      </w:numPr>
    </w:pPr>
  </w:style>
  <w:style w:type="character" w:customStyle="1" w:styleId="2Char">
    <w:name w:val="标题 2 Char"/>
    <w:link w:val="2"/>
    <w:uiPriority w:val="9"/>
    <w:qFormat/>
    <w:rPr>
      <w:rFonts w:ascii="Arial" w:eastAsia="Times New Roman" w:hAnsi="Arial" w:cs="Arial"/>
      <w:sz w:val="32"/>
      <w:szCs w:val="32"/>
      <w:lang w:val="en-GB"/>
    </w:rPr>
  </w:style>
  <w:style w:type="paragraph" w:customStyle="1" w:styleId="Revision2">
    <w:name w:val="Revision2"/>
    <w:hidden/>
    <w:uiPriority w:val="99"/>
    <w:semiHidden/>
    <w:qFormat/>
    <w:rPr>
      <w:rFonts w:asciiTheme="minorHAnsi" w:eastAsiaTheme="minorEastAsia" w:hAnsiTheme="minorHAnsi" w:cstheme="minorBidi"/>
      <w:sz w:val="22"/>
      <w:szCs w:val="22"/>
    </w:rPr>
  </w:style>
  <w:style w:type="character" w:styleId="ad">
    <w:name w:val="Placeholder Text"/>
    <w:basedOn w:val="a0"/>
    <w:uiPriority w:val="99"/>
    <w:semiHidden/>
    <w:qFormat/>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image" Target="media/image7.wmf"/><Relationship Id="rId18" Type="http://schemas.openxmlformats.org/officeDocument/2006/relationships/image" Target="media/image9.wmf"/><Relationship Id="rId26" Type="http://schemas.openxmlformats.org/officeDocument/2006/relationships/oleObject" Target="embeddings/oleObject8.bin"/><Relationship Id="rId39" Type="http://schemas.openxmlformats.org/officeDocument/2006/relationships/theme" Target="theme/theme1.xml"/><Relationship Id="rId21" Type="http://schemas.openxmlformats.org/officeDocument/2006/relationships/oleObject" Target="embeddings/oleObject6.bin"/><Relationship Id="rId34" Type="http://schemas.openxmlformats.org/officeDocument/2006/relationships/oleObject" Target="embeddings/oleObject13.bin"/><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oleObject" Target="embeddings/oleObject3.bin"/><Relationship Id="rId25" Type="http://schemas.openxmlformats.org/officeDocument/2006/relationships/image" Target="media/image12.wmf"/><Relationship Id="rId33" Type="http://schemas.openxmlformats.org/officeDocument/2006/relationships/oleObject" Target="embeddings/oleObject12.bin"/><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wmf"/><Relationship Id="rId20" Type="http://schemas.openxmlformats.org/officeDocument/2006/relationships/oleObject" Target="embeddings/oleObject5.bin"/><Relationship Id="rId29" Type="http://schemas.openxmlformats.org/officeDocument/2006/relationships/image" Target="media/image14.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image" Target="media/image11.png"/><Relationship Id="rId32" Type="http://schemas.openxmlformats.org/officeDocument/2006/relationships/oleObject" Target="embeddings/oleObject11.bin"/><Relationship Id="rId37" Type="http://schemas.openxmlformats.org/officeDocument/2006/relationships/oleObject" Target="embeddings/oleObject16.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oleObject" Target="embeddings/oleObject9.bin"/><Relationship Id="rId36" Type="http://schemas.openxmlformats.org/officeDocument/2006/relationships/oleObject" Target="embeddings/oleObject15.bin"/><Relationship Id="rId10" Type="http://schemas.openxmlformats.org/officeDocument/2006/relationships/image" Target="media/image4.png"/><Relationship Id="rId19" Type="http://schemas.openxmlformats.org/officeDocument/2006/relationships/oleObject" Target="embeddings/oleObject4.bin"/><Relationship Id="rId31" Type="http://schemas.openxmlformats.org/officeDocument/2006/relationships/image" Target="media/image15.wmf"/><Relationship Id="rId4" Type="http://schemas.openxmlformats.org/officeDocument/2006/relationships/styles" Target="styles.xml"/><Relationship Id="rId9" Type="http://schemas.openxmlformats.org/officeDocument/2006/relationships/image" Target="media/image3.png"/><Relationship Id="rId14" Type="http://schemas.openxmlformats.org/officeDocument/2006/relationships/oleObject" Target="embeddings/oleObject1.bin"/><Relationship Id="rId22" Type="http://schemas.openxmlformats.org/officeDocument/2006/relationships/oleObject" Target="embeddings/oleObject7.bin"/><Relationship Id="rId27" Type="http://schemas.openxmlformats.org/officeDocument/2006/relationships/image" Target="media/image13.wmf"/><Relationship Id="rId30" Type="http://schemas.openxmlformats.org/officeDocument/2006/relationships/oleObject" Target="embeddings/oleObject10.bin"/><Relationship Id="rId35" Type="http://schemas.openxmlformats.org/officeDocument/2006/relationships/oleObject" Target="embeddings/oleObject14.bin"/><Relationship Id="rId8" Type="http://schemas.openxmlformats.org/officeDocument/2006/relationships/image" Target="media/image2.png"/><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AE05431-D889-4ECF-A8E9-DA4A0502D1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6</Pages>
  <Words>2170</Words>
  <Characters>12373</Characters>
  <Application>Microsoft Office Word</Application>
  <DocSecurity>0</DocSecurity>
  <Lines>103</Lines>
  <Paragraphs>29</Paragraphs>
  <ScaleCrop>false</ScaleCrop>
  <Company/>
  <LinksUpToDate>false</LinksUpToDate>
  <CharactersWithSpaces>14514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张楠10184108</dc:creator>
  <cp:lastModifiedBy>ZTE</cp:lastModifiedBy>
  <cp:revision>5</cp:revision>
  <dcterms:created xsi:type="dcterms:W3CDTF">2021-01-12T07:14:00Z</dcterms:created>
  <dcterms:modified xsi:type="dcterms:W3CDTF">2021-01-18T02:18:00Z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ies>
</file>